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162FDDFC" w:rsidR="00184658" w:rsidRPr="000F6168" w:rsidRDefault="00184658" w:rsidP="00184658">
      <w:pPr>
        <w:tabs>
          <w:tab w:val="right" w:pos="10000"/>
        </w:tabs>
        <w:spacing w:after="0"/>
        <w:rPr>
          <w:rFonts w:ascii="Arial" w:hAnsi="Arial" w:cs="Arial"/>
          <w:b/>
          <w:sz w:val="22"/>
          <w:szCs w:val="24"/>
        </w:rPr>
      </w:pPr>
      <w:bookmarkStart w:id="0" w:name="_Hlk495298459"/>
      <w:bookmarkStart w:id="1" w:name="_GoBack"/>
      <w:r w:rsidRPr="000F6168">
        <w:rPr>
          <w:rFonts w:ascii="Arial" w:hAnsi="Arial" w:cs="Arial"/>
          <w:b/>
          <w:sz w:val="22"/>
          <w:szCs w:val="24"/>
        </w:rPr>
        <w:t>3GPP TSG-RAN WG1 #</w:t>
      </w:r>
      <w:r w:rsidR="00856DEB" w:rsidRPr="000F6168">
        <w:rPr>
          <w:rFonts w:ascii="Arial" w:hAnsi="Arial" w:cs="Arial"/>
          <w:b/>
          <w:sz w:val="22"/>
          <w:szCs w:val="24"/>
        </w:rPr>
        <w:t>10</w:t>
      </w:r>
      <w:r w:rsidR="00202492">
        <w:rPr>
          <w:rFonts w:ascii="Arial" w:hAnsi="Arial" w:cs="Arial"/>
          <w:b/>
          <w:sz w:val="22"/>
          <w:szCs w:val="24"/>
        </w:rPr>
        <w:t>3</w:t>
      </w:r>
      <w:r w:rsidR="00B66725" w:rsidRPr="000F6168">
        <w:rPr>
          <w:rFonts w:ascii="Arial" w:hAnsi="Arial" w:cs="Arial"/>
          <w:b/>
          <w:sz w:val="22"/>
          <w:szCs w:val="24"/>
        </w:rPr>
        <w:t>-e</w:t>
      </w:r>
      <w:r w:rsidRPr="000F6168">
        <w:rPr>
          <w:rFonts w:ascii="Arial" w:hAnsi="Arial" w:cs="Arial"/>
          <w:b/>
          <w:sz w:val="22"/>
          <w:szCs w:val="24"/>
        </w:rPr>
        <w:tab/>
      </w:r>
      <w:r w:rsidR="00542458" w:rsidRPr="000F6168">
        <w:rPr>
          <w:rFonts w:ascii="Arial" w:hAnsi="Arial" w:cs="Arial"/>
          <w:b/>
          <w:sz w:val="22"/>
          <w:szCs w:val="24"/>
        </w:rPr>
        <w:t>R1-</w:t>
      </w:r>
      <w:r w:rsidR="00632594" w:rsidRPr="000F6168">
        <w:t xml:space="preserve"> </w:t>
      </w:r>
      <w:r w:rsidR="00E637CD" w:rsidRPr="000F6168">
        <w:rPr>
          <w:rFonts w:ascii="Arial" w:hAnsi="Arial" w:cs="Arial"/>
          <w:b/>
          <w:sz w:val="22"/>
          <w:szCs w:val="24"/>
        </w:rPr>
        <w:t>200</w:t>
      </w:r>
      <w:r w:rsidR="00D35DA2">
        <w:rPr>
          <w:rFonts w:ascii="Arial" w:hAnsi="Arial" w:cs="Arial"/>
          <w:b/>
          <w:sz w:val="22"/>
          <w:szCs w:val="24"/>
        </w:rPr>
        <w:t>9268</w:t>
      </w:r>
    </w:p>
    <w:p w14:paraId="11D9F0EF" w14:textId="3D43629A" w:rsidR="00C8121F" w:rsidRPr="000F6168" w:rsidRDefault="00901B3B" w:rsidP="00C8121F">
      <w:pPr>
        <w:pStyle w:val="Footer"/>
        <w:jc w:val="both"/>
        <w:rPr>
          <w:bCs/>
          <w:i w:val="0"/>
          <w:sz w:val="22"/>
        </w:rPr>
      </w:pPr>
      <w:r w:rsidRPr="000F6168">
        <w:rPr>
          <w:rFonts w:cs="Arial"/>
          <w:i w:val="0"/>
          <w:sz w:val="22"/>
          <w:szCs w:val="24"/>
        </w:rPr>
        <w:t>e</w:t>
      </w:r>
      <w:r w:rsidR="00B5258B" w:rsidRPr="000F6168">
        <w:rPr>
          <w:rFonts w:cs="Arial"/>
          <w:i w:val="0"/>
          <w:sz w:val="22"/>
          <w:szCs w:val="24"/>
        </w:rPr>
        <w:t>-</w:t>
      </w:r>
      <w:r w:rsidR="00E87CB1" w:rsidRPr="000F6168">
        <w:rPr>
          <w:rFonts w:cs="Arial"/>
          <w:i w:val="0"/>
          <w:sz w:val="22"/>
          <w:szCs w:val="24"/>
        </w:rPr>
        <w:t>M</w:t>
      </w:r>
      <w:r w:rsidR="00B5258B" w:rsidRPr="000F6168">
        <w:rPr>
          <w:rFonts w:cs="Arial"/>
          <w:i w:val="0"/>
          <w:sz w:val="22"/>
          <w:szCs w:val="24"/>
        </w:rPr>
        <w:t xml:space="preserve">eeting, </w:t>
      </w:r>
      <w:r w:rsidR="00202492">
        <w:rPr>
          <w:rFonts w:cs="Arial"/>
          <w:i w:val="0"/>
          <w:sz w:val="22"/>
          <w:szCs w:val="24"/>
        </w:rPr>
        <w:t>October 26</w:t>
      </w:r>
      <w:r w:rsidR="00202492" w:rsidRPr="00202492">
        <w:rPr>
          <w:rFonts w:cs="Arial"/>
          <w:i w:val="0"/>
          <w:sz w:val="22"/>
          <w:szCs w:val="24"/>
          <w:vertAlign w:val="superscript"/>
        </w:rPr>
        <w:t>th</w:t>
      </w:r>
      <w:r w:rsidR="00E87CB1" w:rsidRPr="000F6168">
        <w:rPr>
          <w:rFonts w:cs="Arial"/>
          <w:i w:val="0"/>
          <w:sz w:val="22"/>
          <w:szCs w:val="24"/>
        </w:rPr>
        <w:t xml:space="preserve"> – </w:t>
      </w:r>
      <w:r w:rsidR="00202492">
        <w:rPr>
          <w:rFonts w:cs="Arial"/>
          <w:i w:val="0"/>
          <w:sz w:val="22"/>
          <w:szCs w:val="24"/>
        </w:rPr>
        <w:t>November 13</w:t>
      </w:r>
      <w:r w:rsidR="00202492" w:rsidRPr="00202492">
        <w:rPr>
          <w:rFonts w:cs="Arial"/>
          <w:i w:val="0"/>
          <w:sz w:val="22"/>
          <w:szCs w:val="24"/>
          <w:vertAlign w:val="superscript"/>
        </w:rPr>
        <w:t>th</w:t>
      </w:r>
      <w:r w:rsidR="00E87CB1" w:rsidRPr="000F6168">
        <w:rPr>
          <w:rFonts w:cs="Arial"/>
          <w:i w:val="0"/>
          <w:sz w:val="22"/>
          <w:szCs w:val="24"/>
        </w:rPr>
        <w:t>, 2020</w:t>
      </w:r>
    </w:p>
    <w:p w14:paraId="3A0CB384" w14:textId="52228876" w:rsidR="00BC335A" w:rsidRPr="000F6168" w:rsidRDefault="00BC335A" w:rsidP="00184658">
      <w:pPr>
        <w:pStyle w:val="Footer"/>
        <w:jc w:val="both"/>
        <w:rPr>
          <w:rFonts w:cs="Arial"/>
          <w:i w:val="0"/>
          <w:sz w:val="24"/>
          <w:szCs w:val="24"/>
        </w:rPr>
      </w:pPr>
    </w:p>
    <w:p w14:paraId="00A480DC" w14:textId="0F084E3D" w:rsidR="00CE5F5F" w:rsidRPr="000F6168" w:rsidRDefault="00CE5F5F" w:rsidP="00CE5F5F">
      <w:pPr>
        <w:tabs>
          <w:tab w:val="left" w:pos="1985"/>
        </w:tabs>
        <w:rPr>
          <w:rFonts w:ascii="Arial" w:hAnsi="Arial"/>
          <w:sz w:val="22"/>
        </w:rPr>
      </w:pPr>
      <w:r w:rsidRPr="000F6168">
        <w:rPr>
          <w:rFonts w:ascii="Arial" w:hAnsi="Arial"/>
          <w:b/>
          <w:sz w:val="22"/>
        </w:rPr>
        <w:t>Agenda item:</w:t>
      </w:r>
      <w:r w:rsidR="000C63E6" w:rsidRPr="000F6168">
        <w:rPr>
          <w:rFonts w:ascii="Arial" w:hAnsi="Arial"/>
          <w:sz w:val="22"/>
        </w:rPr>
        <w:tab/>
      </w:r>
      <w:r w:rsidR="007C5258" w:rsidRPr="000F6168">
        <w:rPr>
          <w:rFonts w:ascii="Arial" w:hAnsi="Arial"/>
          <w:sz w:val="22"/>
        </w:rPr>
        <w:t>8.7.2</w:t>
      </w:r>
    </w:p>
    <w:p w14:paraId="41F022EE" w14:textId="77777777" w:rsidR="00CE5F5F" w:rsidRPr="000F6168" w:rsidRDefault="00CE5F5F" w:rsidP="00CE5F5F">
      <w:pPr>
        <w:tabs>
          <w:tab w:val="left" w:pos="1985"/>
        </w:tabs>
        <w:rPr>
          <w:rFonts w:ascii="Arial" w:hAnsi="Arial"/>
          <w:sz w:val="22"/>
        </w:rPr>
      </w:pPr>
      <w:r w:rsidRPr="000F6168">
        <w:rPr>
          <w:rFonts w:ascii="Arial" w:hAnsi="Arial"/>
          <w:b/>
          <w:sz w:val="22"/>
        </w:rPr>
        <w:t xml:space="preserve">Source: </w:t>
      </w:r>
      <w:r w:rsidRPr="000F6168">
        <w:rPr>
          <w:rFonts w:ascii="Arial" w:hAnsi="Arial"/>
          <w:b/>
          <w:sz w:val="22"/>
        </w:rPr>
        <w:tab/>
      </w:r>
      <w:r w:rsidRPr="000F6168">
        <w:rPr>
          <w:rFonts w:ascii="Arial" w:hAnsi="Arial"/>
          <w:sz w:val="22"/>
        </w:rPr>
        <w:t>Qualcomm Incorporated</w:t>
      </w:r>
    </w:p>
    <w:p w14:paraId="05FA8EA8" w14:textId="59C877A5" w:rsidR="00A63D06" w:rsidRPr="000F6168" w:rsidRDefault="0045039C" w:rsidP="00A63D06">
      <w:pPr>
        <w:ind w:left="1988" w:hanging="1988"/>
        <w:rPr>
          <w:rFonts w:ascii="Arial" w:hAnsi="Arial"/>
          <w:sz w:val="22"/>
        </w:rPr>
      </w:pPr>
      <w:r w:rsidRPr="000F6168">
        <w:rPr>
          <w:rFonts w:ascii="Arial" w:hAnsi="Arial"/>
          <w:b/>
          <w:sz w:val="22"/>
        </w:rPr>
        <w:t>Title:</w:t>
      </w:r>
      <w:r w:rsidRPr="000F6168">
        <w:rPr>
          <w:rFonts w:ascii="Arial" w:hAnsi="Arial"/>
          <w:sz w:val="22"/>
        </w:rPr>
        <w:t xml:space="preserve"> </w:t>
      </w:r>
      <w:r w:rsidRPr="000F6168">
        <w:rPr>
          <w:rFonts w:ascii="Arial" w:hAnsi="Arial"/>
          <w:sz w:val="22"/>
        </w:rPr>
        <w:tab/>
      </w:r>
      <w:r w:rsidR="007C5258" w:rsidRPr="000F6168">
        <w:rPr>
          <w:rFonts w:ascii="Arial" w:hAnsi="Arial"/>
          <w:sz w:val="22"/>
        </w:rPr>
        <w:t>DCI-based power saving adaptation during DRX Active Time</w:t>
      </w:r>
    </w:p>
    <w:bookmarkEnd w:id="0"/>
    <w:p w14:paraId="2C0EDD71" w14:textId="343E1CF9" w:rsidR="0045039C" w:rsidRPr="000F6168" w:rsidRDefault="0045039C" w:rsidP="0045039C">
      <w:pPr>
        <w:ind w:left="1988" w:hanging="1988"/>
        <w:rPr>
          <w:rFonts w:ascii="Arial" w:hAnsi="Arial"/>
          <w:sz w:val="22"/>
        </w:rPr>
      </w:pPr>
      <w:r w:rsidRPr="000F6168">
        <w:rPr>
          <w:rFonts w:ascii="Arial" w:hAnsi="Arial"/>
          <w:b/>
          <w:sz w:val="22"/>
        </w:rPr>
        <w:t>Document for:</w:t>
      </w:r>
      <w:r w:rsidRPr="000F6168">
        <w:rPr>
          <w:rFonts w:ascii="Arial" w:hAnsi="Arial"/>
          <w:sz w:val="22"/>
        </w:rPr>
        <w:tab/>
        <w:t>Discussion/Decision</w:t>
      </w:r>
    </w:p>
    <w:p w14:paraId="62CC69E9" w14:textId="5D3FCD07" w:rsidR="00643736" w:rsidRPr="000F6168" w:rsidRDefault="00B524B6" w:rsidP="00D66E08">
      <w:pPr>
        <w:pStyle w:val="Heading1"/>
        <w:rPr>
          <w:lang w:val="en-US"/>
        </w:rPr>
      </w:pPr>
      <w:r w:rsidRPr="000F6168">
        <w:rPr>
          <w:lang w:val="en-US"/>
        </w:rPr>
        <w:t>Introduction</w:t>
      </w:r>
    </w:p>
    <w:p w14:paraId="1FFD2ABC" w14:textId="64F0FEF7" w:rsidR="004F67BC" w:rsidRPr="000F6168" w:rsidRDefault="00B81EBB">
      <w:r w:rsidRPr="000F6168">
        <w:t xml:space="preserve">As per the </w:t>
      </w:r>
      <w:r w:rsidR="00972A1A">
        <w:t xml:space="preserve">Rel-17 UE power saving </w:t>
      </w:r>
      <w:r w:rsidRPr="000F6168">
        <w:t>WID</w:t>
      </w:r>
      <w:r w:rsidR="00972A1A">
        <w:t xml:space="preserve"> </w:t>
      </w:r>
      <w:r w:rsidR="00972A1A" w:rsidRPr="000F6168">
        <w:fldChar w:fldCharType="begin"/>
      </w:r>
      <w:r w:rsidR="00972A1A" w:rsidRPr="000F6168">
        <w:instrText xml:space="preserve"> REF _Ref47396664 \r \h </w:instrText>
      </w:r>
      <w:r w:rsidR="00972A1A" w:rsidRPr="000F6168">
        <w:fldChar w:fldCharType="separate"/>
      </w:r>
      <w:r w:rsidR="00AD3BE1">
        <w:t>[1]</w:t>
      </w:r>
      <w:r w:rsidR="00972A1A" w:rsidRPr="000F6168">
        <w:fldChar w:fldCharType="end"/>
      </w:r>
      <w:r w:rsidRPr="000F6168">
        <w:t xml:space="preserve">, </w:t>
      </w:r>
      <w:r w:rsidR="003123BA" w:rsidRPr="000F6168">
        <w:t xml:space="preserve">a </w:t>
      </w:r>
      <w:r w:rsidRPr="000F6168">
        <w:t xml:space="preserve">key aspect of the UE power saving enhancement </w:t>
      </w:r>
      <w:r w:rsidR="00F765C4" w:rsidRPr="000F6168">
        <w:t xml:space="preserve">is connected mode power saving, which is basically </w:t>
      </w:r>
      <w:r w:rsidR="00FF5EBA" w:rsidRPr="000F6168">
        <w:t>continuation of</w:t>
      </w:r>
      <w:r w:rsidR="00F765C4" w:rsidRPr="000F6168">
        <w:t xml:space="preserve"> Rel-16 UE power saving WI. In particular, the WID </w:t>
      </w:r>
      <w:r w:rsidR="00267791" w:rsidRPr="000F6168">
        <w:t>suggests</w:t>
      </w:r>
      <w:r w:rsidR="003123BA" w:rsidRPr="000F6168">
        <w:t xml:space="preserve"> potential extension</w:t>
      </w:r>
      <w:r w:rsidR="00267791" w:rsidRPr="000F6168">
        <w:t>(s)</w:t>
      </w:r>
      <w:r w:rsidR="003123BA" w:rsidRPr="000F6168">
        <w:t xml:space="preserve"> of Rel-16 DCI-based power saving schemes</w:t>
      </w:r>
      <w:r w:rsidR="00267791" w:rsidRPr="000F6168">
        <w:t>, including PDCCH monitoring reduction when C-DRX is configured.</w:t>
      </w:r>
    </w:p>
    <w:p w14:paraId="10BDE491" w14:textId="48A1FD0A" w:rsidR="003037DC" w:rsidRPr="000F6168" w:rsidRDefault="0011460A">
      <w:r w:rsidRPr="000F6168">
        <w:t xml:space="preserve">In this contribution, </w:t>
      </w:r>
      <w:r w:rsidR="003037DC" w:rsidRPr="000F6168">
        <w:t xml:space="preserve">we present our views on the UE power saving enhancement for connected mode UEs. </w:t>
      </w:r>
      <w:r w:rsidR="00452B39">
        <w:t>T</w:t>
      </w:r>
      <w:r w:rsidR="005A5C6E">
        <w:t xml:space="preserve">he </w:t>
      </w:r>
      <w:r w:rsidR="00656D1E">
        <w:t xml:space="preserve">additional </w:t>
      </w:r>
      <w:r w:rsidR="005A5C6E">
        <w:t>power saving gain</w:t>
      </w:r>
      <w:r w:rsidR="0097752E">
        <w:t>s</w:t>
      </w:r>
      <w:r w:rsidR="005A5C6E">
        <w:t xml:space="preserve"> attained by </w:t>
      </w:r>
      <w:r w:rsidR="00452B39">
        <w:t xml:space="preserve">the proposed PDCCH monitoring </w:t>
      </w:r>
      <w:r w:rsidR="00833FF6">
        <w:t>reduction scheme</w:t>
      </w:r>
      <w:r w:rsidR="00615E4A">
        <w:t>s</w:t>
      </w:r>
      <w:r w:rsidR="00656D1E">
        <w:t xml:space="preserve">, </w:t>
      </w:r>
      <w:r w:rsidR="00C07449">
        <w:t>on top of</w:t>
      </w:r>
      <w:r w:rsidR="00656D1E">
        <w:t xml:space="preserve"> Rel-15 and Rel-16 power saving schemes,</w:t>
      </w:r>
      <w:r w:rsidR="00833FF6">
        <w:t xml:space="preserve"> </w:t>
      </w:r>
      <w:r w:rsidR="00615E4A">
        <w:t>are</w:t>
      </w:r>
      <w:r w:rsidR="00833FF6">
        <w:t xml:space="preserve"> also evaluated</w:t>
      </w:r>
      <w:r w:rsidR="00C07449">
        <w:t xml:space="preserve"> based on the agreed evaluation methodology in RAN1 #102-e.</w:t>
      </w:r>
    </w:p>
    <w:p w14:paraId="693166EF" w14:textId="44EE8C6F" w:rsidR="00CB7240" w:rsidRPr="000F6168" w:rsidRDefault="00F51EAC" w:rsidP="00887B71">
      <w:pPr>
        <w:pStyle w:val="Heading1"/>
        <w:rPr>
          <w:lang w:val="en-US"/>
        </w:rPr>
      </w:pPr>
      <w:r w:rsidRPr="000F6168">
        <w:rPr>
          <w:lang w:val="en-US"/>
        </w:rPr>
        <w:t>Discussion on connected mode UE power saving</w:t>
      </w:r>
    </w:p>
    <w:p w14:paraId="59BEBBFB" w14:textId="1206F9D3" w:rsidR="003C56DA" w:rsidRPr="000F6168" w:rsidRDefault="00F51EAC" w:rsidP="00F51EAC">
      <w:pPr>
        <w:pStyle w:val="Heading2"/>
        <w:rPr>
          <w:lang w:val="en-US"/>
        </w:rPr>
      </w:pPr>
      <w:r w:rsidRPr="000F6168">
        <w:rPr>
          <w:lang w:val="en-US"/>
        </w:rPr>
        <w:t xml:space="preserve">PDCCH </w:t>
      </w:r>
      <w:r w:rsidR="0005308C" w:rsidRPr="000F6168">
        <w:rPr>
          <w:lang w:val="en-US"/>
        </w:rPr>
        <w:t xml:space="preserve">monitoring </w:t>
      </w:r>
      <w:r w:rsidRPr="000F6168">
        <w:rPr>
          <w:lang w:val="en-US"/>
        </w:rPr>
        <w:t>reduction techniques</w:t>
      </w:r>
    </w:p>
    <w:p w14:paraId="22E82BB0" w14:textId="402C95D1" w:rsidR="0005308C" w:rsidRPr="000F6168" w:rsidRDefault="0005308C" w:rsidP="00445F1B">
      <w:r w:rsidRPr="000F6168">
        <w:t xml:space="preserve">During Rel-16 UE power saving WI, PDCCH monitoring reduction techniques have been </w:t>
      </w:r>
      <w:r w:rsidR="00A23B26" w:rsidRPr="000F6168">
        <w:t>intensively</w:t>
      </w:r>
      <w:r w:rsidRPr="000F6168">
        <w:t xml:space="preserve"> discussed.</w:t>
      </w:r>
      <w:r w:rsidR="00841972" w:rsidRPr="000F6168">
        <w:t xml:space="preserve"> According to the conclusion in TR 38.840, </w:t>
      </w:r>
      <w:r w:rsidR="00AF302C" w:rsidRPr="000F6168">
        <w:t xml:space="preserve">some PDCCH monitoring adaptation schemes can achieve power saving gains of 9%~83% range, at the expensive of increased latency of 0.1%~75%. </w:t>
      </w:r>
      <w:r w:rsidR="007462D1" w:rsidRPr="000F6168">
        <w:t>Despite the</w:t>
      </w:r>
      <w:r w:rsidR="004F769B" w:rsidRPr="000F6168">
        <w:t xml:space="preserve"> evident</w:t>
      </w:r>
      <w:r w:rsidR="007462D1" w:rsidRPr="000F6168">
        <w:t xml:space="preserve"> gains, </w:t>
      </w:r>
      <w:r w:rsidR="004F769B" w:rsidRPr="000F6168">
        <w:t xml:space="preserve">no consensus was made on </w:t>
      </w:r>
      <w:r w:rsidR="005A0E77" w:rsidRPr="000F6168">
        <w:t>a specific PDCCH monitoring reduction scheme</w:t>
      </w:r>
      <w:r w:rsidR="003B52AA" w:rsidRPr="000F6168">
        <w:t xml:space="preserve"> due to divergent views from different companies. </w:t>
      </w:r>
      <w:r w:rsidR="00773D63" w:rsidRPr="000F6168">
        <w:t>As continuation of t</w:t>
      </w:r>
      <w:r w:rsidR="00FF5EBA" w:rsidRPr="000F6168">
        <w:t xml:space="preserve">he Rel-16 effort, </w:t>
      </w:r>
      <w:r w:rsidR="000B6A8D" w:rsidRPr="000F6168">
        <w:t>we present our views in the following subsections.</w:t>
      </w:r>
    </w:p>
    <w:p w14:paraId="07673889" w14:textId="77777777" w:rsidR="008D23D3" w:rsidRPr="000F6168" w:rsidRDefault="008D23D3" w:rsidP="00445F1B"/>
    <w:p w14:paraId="003230B7" w14:textId="1FC67B55" w:rsidR="0049036A" w:rsidRPr="000F6168" w:rsidRDefault="0049036A" w:rsidP="0049036A">
      <w:pPr>
        <w:pStyle w:val="Heading3"/>
        <w:rPr>
          <w:lang w:val="en-US"/>
        </w:rPr>
      </w:pPr>
      <w:r w:rsidRPr="000F6168">
        <w:rPr>
          <w:lang w:val="en-US"/>
        </w:rPr>
        <w:t xml:space="preserve">Dynamic search space set </w:t>
      </w:r>
      <w:r w:rsidR="008D23D3" w:rsidRPr="000F6168">
        <w:rPr>
          <w:lang w:val="en-US"/>
        </w:rPr>
        <w:t>adaptation</w:t>
      </w:r>
    </w:p>
    <w:p w14:paraId="38DB1DC8" w14:textId="783A2B2A" w:rsidR="006D4814" w:rsidRPr="000F6168" w:rsidRDefault="00A5140E" w:rsidP="00DD343D">
      <w:r w:rsidRPr="000F6168">
        <w:t>In Rel-16, a d</w:t>
      </w:r>
      <w:r w:rsidR="00272242" w:rsidRPr="000F6168">
        <w:t xml:space="preserve">ynamic search space set switching mechanism has been introduced </w:t>
      </w:r>
      <w:r w:rsidRPr="000F6168">
        <w:t>in the context of</w:t>
      </w:r>
      <w:r w:rsidR="00ED1BCE" w:rsidRPr="000F6168">
        <w:t xml:space="preserve"> the</w:t>
      </w:r>
      <w:r w:rsidR="00504289" w:rsidRPr="000F6168">
        <w:t xml:space="preserve"> </w:t>
      </w:r>
      <w:r w:rsidR="00ED1BCE" w:rsidRPr="000F6168">
        <w:t xml:space="preserve">NR operation with shares spectrum channel access. </w:t>
      </w:r>
      <w:r w:rsidR="006564EE" w:rsidRPr="000F6168">
        <w:t xml:space="preserve">The </w:t>
      </w:r>
      <w:r w:rsidR="0087006E" w:rsidRPr="000F6168">
        <w:t xml:space="preserve">primary </w:t>
      </w:r>
      <w:r w:rsidR="006564EE" w:rsidRPr="000F6168">
        <w:t>purpose of the mechanism is allowing more frequent channel access opportunities for the gNB</w:t>
      </w:r>
      <w:r w:rsidR="000C08A9" w:rsidRPr="000F6168">
        <w:t xml:space="preserve"> </w:t>
      </w:r>
      <w:r w:rsidR="0087006E" w:rsidRPr="000F6168">
        <w:t xml:space="preserve">to minimize the </w:t>
      </w:r>
      <w:r w:rsidR="006920C3" w:rsidRPr="000F6168">
        <w:t xml:space="preserve">risk </w:t>
      </w:r>
      <w:r w:rsidR="008E1205" w:rsidRPr="000F6168">
        <w:t xml:space="preserve">of </w:t>
      </w:r>
      <w:r w:rsidR="006920C3" w:rsidRPr="000F6168">
        <w:t>lo</w:t>
      </w:r>
      <w:r w:rsidR="000248E2" w:rsidRPr="000F6168">
        <w:t xml:space="preserve">sing </w:t>
      </w:r>
      <w:r w:rsidR="008E1205" w:rsidRPr="000F6168">
        <w:t xml:space="preserve">the medium after gaining </w:t>
      </w:r>
      <w:r w:rsidR="00566739" w:rsidRPr="000F6168">
        <w:t xml:space="preserve">the </w:t>
      </w:r>
      <w:r w:rsidR="008E1205" w:rsidRPr="000F6168">
        <w:t xml:space="preserve">access. </w:t>
      </w:r>
      <w:r w:rsidR="005726CF" w:rsidRPr="000F6168">
        <w:t xml:space="preserve">Up to two groups of search </w:t>
      </w:r>
      <w:r w:rsidR="00843B2B" w:rsidRPr="000F6168">
        <w:t>space sets can be configured</w:t>
      </w:r>
      <w:r w:rsidR="00E00DB1" w:rsidRPr="000F6168">
        <w:t xml:space="preserve">, and </w:t>
      </w:r>
      <w:r w:rsidR="00DB7BC3" w:rsidRPr="000F6168">
        <w:t xml:space="preserve">various </w:t>
      </w:r>
      <w:r w:rsidR="00DD343D" w:rsidRPr="000F6168">
        <w:t xml:space="preserve">explicit or implicit </w:t>
      </w:r>
      <w:r w:rsidR="00DB7BC3" w:rsidRPr="000F6168">
        <w:t>conditions</w:t>
      </w:r>
      <w:r w:rsidR="00DD343D" w:rsidRPr="000F6168">
        <w:t xml:space="preserve"> </w:t>
      </w:r>
      <w:r w:rsidR="00812944" w:rsidRPr="000F6168">
        <w:t>of sw</w:t>
      </w:r>
      <w:r w:rsidR="00DB7BC3" w:rsidRPr="000F6168">
        <w:t>itching between the two groups</w:t>
      </w:r>
      <w:r w:rsidR="00DD343D" w:rsidRPr="000F6168">
        <w:t xml:space="preserve"> are provided (Section 10.4 of TS 38.213).</w:t>
      </w:r>
      <w:r w:rsidR="00372D9D" w:rsidRPr="000F6168">
        <w:t xml:space="preserve"> </w:t>
      </w:r>
      <w:r w:rsidR="0089400C" w:rsidRPr="000F6168">
        <w:t>In parallel, in Rel-16</w:t>
      </w:r>
      <w:r w:rsidR="00C97D05" w:rsidRPr="000F6168">
        <w:t xml:space="preserve"> UE power saving WI</w:t>
      </w:r>
      <w:r w:rsidR="0089400C" w:rsidRPr="000F6168">
        <w:t xml:space="preserve">, </w:t>
      </w:r>
      <w:r w:rsidR="00C97131" w:rsidRPr="000F6168">
        <w:t xml:space="preserve">a </w:t>
      </w:r>
      <w:r w:rsidR="0040347F" w:rsidRPr="000F6168">
        <w:t xml:space="preserve">dynamic </w:t>
      </w:r>
      <w:r w:rsidR="003F0F7B" w:rsidRPr="000F6168">
        <w:t xml:space="preserve">adaptation </w:t>
      </w:r>
      <w:r w:rsidR="00C97131" w:rsidRPr="000F6168">
        <w:t xml:space="preserve">mechanism </w:t>
      </w:r>
      <w:r w:rsidR="003F0F7B" w:rsidRPr="000F6168">
        <w:t xml:space="preserve">of PDCCH monitoring periodicity </w:t>
      </w:r>
      <w:r w:rsidR="003C6265" w:rsidRPr="000F6168">
        <w:t xml:space="preserve">was </w:t>
      </w:r>
      <w:r w:rsidR="00C97D05" w:rsidRPr="000F6168">
        <w:t>discussed</w:t>
      </w:r>
      <w:r w:rsidR="003C6265" w:rsidRPr="000F6168">
        <w:t xml:space="preserve">. </w:t>
      </w:r>
      <w:r w:rsidR="006F7F64" w:rsidRPr="000F6168">
        <w:t xml:space="preserve">Even with </w:t>
      </w:r>
      <w:r w:rsidR="00C97D05" w:rsidRPr="000F6168">
        <w:t xml:space="preserve">a </w:t>
      </w:r>
      <w:r w:rsidR="003C6265" w:rsidRPr="000F6168">
        <w:t xml:space="preserve">decent gain observed, the proposal </w:t>
      </w:r>
      <w:r w:rsidR="00443D6E" w:rsidRPr="000F6168">
        <w:t xml:space="preserve">was not adopted </w:t>
      </w:r>
      <w:r w:rsidR="007D2F4C" w:rsidRPr="000F6168">
        <w:t>due to divergent views</w:t>
      </w:r>
      <w:r w:rsidR="000F6168" w:rsidRPr="000F6168">
        <w:t>.</w:t>
      </w:r>
      <w:r w:rsidR="002A4ABC" w:rsidRPr="000F6168">
        <w:t xml:space="preserve"> </w:t>
      </w:r>
    </w:p>
    <w:p w14:paraId="1D888ED5" w14:textId="77915C92" w:rsidR="007D2F4C" w:rsidRPr="000F6168" w:rsidRDefault="002043CE" w:rsidP="00DD343D">
      <w:r w:rsidRPr="000F6168">
        <w:t>D</w:t>
      </w:r>
      <w:r w:rsidR="002A4ABC" w:rsidRPr="000F6168">
        <w:t xml:space="preserve">uring </w:t>
      </w:r>
      <w:r w:rsidR="00C870B3" w:rsidRPr="000F6168">
        <w:t xml:space="preserve">the discussion on Rel-17 UE power saving WID in RAN #86, </w:t>
      </w:r>
      <w:r w:rsidRPr="000F6168">
        <w:t xml:space="preserve">however, </w:t>
      </w:r>
      <w:r w:rsidR="0040347F" w:rsidRPr="000F6168">
        <w:t>the similarity between th</w:t>
      </w:r>
      <w:r w:rsidR="00C97131" w:rsidRPr="000F6168">
        <w:t>e two mechanisms</w:t>
      </w:r>
      <w:r w:rsidR="004377E6">
        <w:t xml:space="preserve">, i.e., </w:t>
      </w:r>
      <w:r w:rsidR="007B2BD4" w:rsidRPr="000F6168">
        <w:t>search spac</w:t>
      </w:r>
      <w:r w:rsidR="00C07510" w:rsidRPr="000F6168">
        <w:t>e set switching and monitoring periodicity adaptation</w:t>
      </w:r>
      <w:r w:rsidR="004377E6">
        <w:t>,</w:t>
      </w:r>
      <w:r w:rsidR="00C07510" w:rsidRPr="000F6168">
        <w:t xml:space="preserve"> was noticed</w:t>
      </w:r>
      <w:r w:rsidR="004E08F9" w:rsidRPr="000F6168">
        <w:t>. Both mechanisms are intended t</w:t>
      </w:r>
      <w:r w:rsidR="000E0E03" w:rsidRPr="000F6168">
        <w:t xml:space="preserve">o dynamically adjust UE’s PDCCH monitoring </w:t>
      </w:r>
      <w:r w:rsidR="00C24124" w:rsidRPr="000F6168">
        <w:t>pattern</w:t>
      </w:r>
      <w:r w:rsidR="000E0E03" w:rsidRPr="000F6168">
        <w:t xml:space="preserve">. </w:t>
      </w:r>
      <w:r w:rsidR="00F32420" w:rsidRPr="000F6168">
        <w:t xml:space="preserve">A minor difference is </w:t>
      </w:r>
      <w:r w:rsidR="001738FB" w:rsidRPr="000F6168">
        <w:t xml:space="preserve">in their </w:t>
      </w:r>
      <w:r w:rsidR="00F32420" w:rsidRPr="000F6168">
        <w:t xml:space="preserve">default </w:t>
      </w:r>
      <w:r w:rsidR="001738FB" w:rsidRPr="000F6168">
        <w:t xml:space="preserve">PDCCH monitoring </w:t>
      </w:r>
      <w:r w:rsidR="00C24124" w:rsidRPr="000F6168">
        <w:t xml:space="preserve">behavior; </w:t>
      </w:r>
      <w:r w:rsidR="00644EC4" w:rsidRPr="000F6168">
        <w:t>for shared spectrum operation</w:t>
      </w:r>
      <w:r w:rsidR="00325BAC" w:rsidRPr="000F6168">
        <w:t xml:space="preserve">, the default </w:t>
      </w:r>
      <w:r w:rsidR="00ED4C39" w:rsidRPr="000F6168">
        <w:t xml:space="preserve">mode is more frequent monitoring, while, for UE power saving, the default mode is </w:t>
      </w:r>
      <w:r w:rsidR="00A92991" w:rsidRPr="000F6168">
        <w:t>less frequent</w:t>
      </w:r>
      <w:r w:rsidR="005872BE" w:rsidRPr="000F6168">
        <w:t xml:space="preserve"> </w:t>
      </w:r>
      <w:r w:rsidR="00853B5B" w:rsidRPr="000F6168">
        <w:t>monitoring.</w:t>
      </w:r>
      <w:r w:rsidR="006D4814" w:rsidRPr="000F6168">
        <w:t xml:space="preserve"> Therefore, i</w:t>
      </w:r>
      <w:r w:rsidR="009F65CB" w:rsidRPr="000F6168">
        <w:t>t was remarked that</w:t>
      </w:r>
      <w:r w:rsidR="00034A5F" w:rsidRPr="000F6168">
        <w:t xml:space="preserve"> the </w:t>
      </w:r>
      <w:r w:rsidR="00131C95" w:rsidRPr="000F6168">
        <w:t xml:space="preserve">Rel-16 </w:t>
      </w:r>
      <w:r w:rsidR="00034A5F" w:rsidRPr="000F6168">
        <w:t xml:space="preserve">search space set switching mechanism </w:t>
      </w:r>
      <w:r w:rsidR="0066782E" w:rsidRPr="000F6168">
        <w:t>may</w:t>
      </w:r>
      <w:r w:rsidR="00034A5F" w:rsidRPr="000F6168">
        <w:t xml:space="preserve"> readily be re-purposed for </w:t>
      </w:r>
      <w:r w:rsidR="0034651C" w:rsidRPr="000F6168">
        <w:t xml:space="preserve">UE power saving, which would minimize </w:t>
      </w:r>
      <w:r w:rsidR="0063699F" w:rsidRPr="000F6168">
        <w:t>the standardization burden.</w:t>
      </w:r>
    </w:p>
    <w:p w14:paraId="16D36E88" w14:textId="638F94F4" w:rsidR="00A92991" w:rsidRPr="000F6168" w:rsidRDefault="00921ACC" w:rsidP="00921ACC">
      <w:pPr>
        <w:pStyle w:val="Caption"/>
      </w:pPr>
      <w:bookmarkStart w:id="2" w:name="_Toc54383023"/>
      <w:r w:rsidRPr="000F6168">
        <w:t xml:space="preserve">Observation </w:t>
      </w:r>
      <w:fldSimple w:instr=" SEQ Observation \* ARABIC ">
        <w:r w:rsidR="00AD3BE1">
          <w:rPr>
            <w:noProof/>
          </w:rPr>
          <w:t>1</w:t>
        </w:r>
      </w:fldSimple>
      <w:r w:rsidR="00A92991" w:rsidRPr="000F6168">
        <w:t xml:space="preserve">: </w:t>
      </w:r>
      <w:r w:rsidR="00F65302" w:rsidRPr="000F6168">
        <w:t>Rel-16 s</w:t>
      </w:r>
      <w:r w:rsidR="00A92991" w:rsidRPr="000F6168">
        <w:t xml:space="preserve">earch space set switching </w:t>
      </w:r>
      <w:r w:rsidR="00F65302" w:rsidRPr="000F6168">
        <w:t xml:space="preserve">feature can be </w:t>
      </w:r>
      <w:r w:rsidRPr="000F6168">
        <w:t xml:space="preserve">reused for Rel-17 </w:t>
      </w:r>
      <w:r w:rsidR="003B379B" w:rsidRPr="000F6168">
        <w:t xml:space="preserve">connected-mode </w:t>
      </w:r>
      <w:r w:rsidRPr="000F6168">
        <w:t>power saving.</w:t>
      </w:r>
      <w:bookmarkEnd w:id="2"/>
    </w:p>
    <w:p w14:paraId="105EC5C7" w14:textId="1D6CAEA9" w:rsidR="00A31F87" w:rsidRPr="000F6168" w:rsidRDefault="00E826C2" w:rsidP="00A92991">
      <w:r w:rsidRPr="000F6168">
        <w:t>I</w:t>
      </w:r>
      <w:r w:rsidR="00A92991" w:rsidRPr="000F6168">
        <w:t xml:space="preserve">t is seemingly straightforward, </w:t>
      </w:r>
      <w:r w:rsidRPr="000F6168">
        <w:t xml:space="preserve">but </w:t>
      </w:r>
      <w:r w:rsidR="00A92991" w:rsidRPr="000F6168">
        <w:t>f</w:t>
      </w:r>
      <w:r w:rsidR="00FA73BA" w:rsidRPr="000F6168">
        <w:t xml:space="preserve">urther in-depth discussion is </w:t>
      </w:r>
      <w:r w:rsidR="005379AD" w:rsidRPr="000F6168">
        <w:t>required to make the existing search space set switching mechanism available for UE power saving.</w:t>
      </w:r>
      <w:r w:rsidR="00575606" w:rsidRPr="000F6168">
        <w:t xml:space="preserve"> For example, since the </w:t>
      </w:r>
      <w:r w:rsidR="00E149B6" w:rsidRPr="000F6168">
        <w:t xml:space="preserve">mechanism is associated with </w:t>
      </w:r>
      <w:r w:rsidR="00B678F9" w:rsidRPr="000F6168">
        <w:t xml:space="preserve">Rel-16 NR-U UE features, it should be clarified whether </w:t>
      </w:r>
      <w:r w:rsidR="002C4A88" w:rsidRPr="000F6168">
        <w:t xml:space="preserve">it is also applicable for licensed band operation. </w:t>
      </w:r>
      <w:r w:rsidR="00763F32" w:rsidRPr="000F6168">
        <w:t xml:space="preserve">Also, the search space switching </w:t>
      </w:r>
      <w:r w:rsidR="008E3873" w:rsidRPr="000F6168">
        <w:t xml:space="preserve">only </w:t>
      </w:r>
      <w:r w:rsidR="00763F32" w:rsidRPr="000F6168">
        <w:t>relies on group-common signaling (DCI format 2_0) for explicit indication</w:t>
      </w:r>
      <w:r w:rsidR="00E101EE" w:rsidRPr="000F6168">
        <w:t xml:space="preserve">, </w:t>
      </w:r>
      <w:r w:rsidR="008E3873" w:rsidRPr="000F6168">
        <w:t xml:space="preserve">which is </w:t>
      </w:r>
      <w:r w:rsidR="006E5964" w:rsidRPr="000F6168">
        <w:t xml:space="preserve">sensible since the shared spectrum channel access </w:t>
      </w:r>
      <w:r w:rsidR="00601C9A" w:rsidRPr="000F6168">
        <w:t xml:space="preserve">and COT sharing is group common in nature. </w:t>
      </w:r>
      <w:r w:rsidR="000F68C2" w:rsidRPr="000F6168">
        <w:t xml:space="preserve">On the contrary, power saving is </w:t>
      </w:r>
      <w:r w:rsidR="00261DC1" w:rsidRPr="000F6168">
        <w:t xml:space="preserve">a </w:t>
      </w:r>
      <w:r w:rsidR="000F68C2" w:rsidRPr="000F6168">
        <w:t xml:space="preserve">UE-specific </w:t>
      </w:r>
      <w:r w:rsidR="00261DC1" w:rsidRPr="000F6168">
        <w:t xml:space="preserve">issue, which highly depends on individual UE’s traffic </w:t>
      </w:r>
      <w:r w:rsidR="00756935" w:rsidRPr="000F6168">
        <w:t xml:space="preserve">condition. </w:t>
      </w:r>
      <w:r w:rsidR="00773EBA" w:rsidRPr="000F6168">
        <w:t>Thus, a new UE-specific signaling mechanism</w:t>
      </w:r>
      <w:r w:rsidR="008E127C" w:rsidRPr="000F6168">
        <w:t xml:space="preserve"> can be considered to </w:t>
      </w:r>
      <w:r w:rsidR="002A36DD" w:rsidRPr="000F6168">
        <w:t>enhance</w:t>
      </w:r>
      <w:r w:rsidR="008E127C" w:rsidRPr="000F6168">
        <w:t xml:space="preserve"> the existing Rel-16 search space set switching mechanism. </w:t>
      </w:r>
      <w:r w:rsidR="001434C6" w:rsidRPr="000F6168">
        <w:t xml:space="preserve">Based on the same </w:t>
      </w:r>
      <w:r w:rsidR="00F830E0" w:rsidRPr="000F6168">
        <w:t xml:space="preserve">principle as Rel-16 power saving schemes, such as the </w:t>
      </w:r>
      <w:r w:rsidR="00F830E0" w:rsidRPr="000F6168">
        <w:lastRenderedPageBreak/>
        <w:t xml:space="preserve">cross-slot scheduling and SCell dormancy </w:t>
      </w:r>
      <w:r w:rsidR="00140B68" w:rsidRPr="000F6168">
        <w:t xml:space="preserve">adaptation, UE-specific signaling by a scheduling DCI </w:t>
      </w:r>
      <w:r w:rsidR="00AD1E17" w:rsidRPr="000F6168">
        <w:t xml:space="preserve">or DCI format 2_6 </w:t>
      </w:r>
      <w:r w:rsidR="00140B68" w:rsidRPr="000F6168">
        <w:t>may be a good candidate.</w:t>
      </w:r>
      <w:r w:rsidR="00C3082E" w:rsidRPr="000F6168">
        <w:t xml:space="preserve"> </w:t>
      </w:r>
      <w:r w:rsidR="00491381" w:rsidRPr="000F6168">
        <w:t>That is, either a new field may be added to the DCI or any existing fields may be repurposed.</w:t>
      </w:r>
    </w:p>
    <w:p w14:paraId="7A96D65E" w14:textId="03305CEF" w:rsidR="00140B68" w:rsidRPr="000F6168" w:rsidRDefault="00B71FCF" w:rsidP="00B71FCF">
      <w:pPr>
        <w:pStyle w:val="Caption"/>
      </w:pPr>
      <w:bookmarkStart w:id="3" w:name="_Toc54383025"/>
      <w:r w:rsidRPr="000F6168">
        <w:t xml:space="preserve">Proposal </w:t>
      </w:r>
      <w:fldSimple w:instr=" SEQ Proposal \* ARABIC ">
        <w:r w:rsidR="00AD3BE1">
          <w:rPr>
            <w:noProof/>
          </w:rPr>
          <w:t>1</w:t>
        </w:r>
      </w:fldSimple>
      <w:r w:rsidRPr="000F6168">
        <w:t xml:space="preserve">: </w:t>
      </w:r>
      <w:r w:rsidR="00787F28" w:rsidRPr="000F6168">
        <w:t>A s</w:t>
      </w:r>
      <w:r w:rsidR="00AD1E17" w:rsidRPr="000F6168">
        <w:t xml:space="preserve">earch space set switching mechanism by a scheduling DCI </w:t>
      </w:r>
      <w:r w:rsidR="00787F28" w:rsidRPr="000F6168">
        <w:t>and/</w:t>
      </w:r>
      <w:r w:rsidR="00AD1E17" w:rsidRPr="000F6168">
        <w:t xml:space="preserve">or DCI </w:t>
      </w:r>
      <w:r w:rsidR="00787F28" w:rsidRPr="000F6168">
        <w:t>format 2_6 is considered as a Rel-17 connected-mode power saving scheme.</w:t>
      </w:r>
      <w:bookmarkEnd w:id="3"/>
    </w:p>
    <w:p w14:paraId="181CFF41" w14:textId="11FC49F8" w:rsidR="00A31F87" w:rsidRPr="000F6168" w:rsidRDefault="002D7FE7" w:rsidP="00A92991">
      <w:r w:rsidRPr="000F6168">
        <w:t xml:space="preserve">The explicit switching mechanism by </w:t>
      </w:r>
      <w:r w:rsidR="002A36DD" w:rsidRPr="000F6168">
        <w:t>scheduling DCI</w:t>
      </w:r>
      <w:r w:rsidR="00787F28" w:rsidRPr="000F6168">
        <w:t xml:space="preserve"> or PDCCH-WUS</w:t>
      </w:r>
      <w:r w:rsidR="002A36DD" w:rsidRPr="000F6168">
        <w:t xml:space="preserve"> </w:t>
      </w:r>
      <w:r w:rsidR="00B71FCF" w:rsidRPr="000F6168">
        <w:t xml:space="preserve">may either replace </w:t>
      </w:r>
      <w:r w:rsidR="00783AB8" w:rsidRPr="000F6168">
        <w:t xml:space="preserve">or complement </w:t>
      </w:r>
      <w:r w:rsidR="00B71FCF" w:rsidRPr="000F6168">
        <w:t>the</w:t>
      </w:r>
      <w:r w:rsidRPr="000F6168">
        <w:t xml:space="preserve"> legacy</w:t>
      </w:r>
      <w:r w:rsidR="00787F28" w:rsidRPr="000F6168">
        <w:t xml:space="preserve"> GC-PDCCH-based </w:t>
      </w:r>
      <w:r w:rsidR="00783AB8" w:rsidRPr="000F6168">
        <w:t xml:space="preserve">mechanism. </w:t>
      </w:r>
      <w:r w:rsidR="00F77333" w:rsidRPr="000F6168">
        <w:t xml:space="preserve">For example, </w:t>
      </w:r>
      <w:r w:rsidR="00CE7F2E" w:rsidRPr="000F6168">
        <w:t xml:space="preserve">a set of </w:t>
      </w:r>
      <w:r w:rsidR="005D4DFA" w:rsidRPr="000F6168">
        <w:t>search space set groups may be se</w:t>
      </w:r>
      <w:r w:rsidR="00CE7F2E" w:rsidRPr="000F6168">
        <w:t xml:space="preserve">parately configured for each switching mechanism. </w:t>
      </w:r>
      <w:r w:rsidR="00527CEC" w:rsidRPr="000F6168">
        <w:t xml:space="preserve">This may enable a hierarchical adaptation of </w:t>
      </w:r>
      <w:r w:rsidR="00F36338" w:rsidRPr="000F6168">
        <w:t xml:space="preserve">PDCCH monitoring </w:t>
      </w:r>
      <w:r w:rsidR="00B95B06" w:rsidRPr="000F6168">
        <w:t xml:space="preserve">behavior as shown in </w:t>
      </w:r>
      <w:r w:rsidR="00457BBC" w:rsidRPr="000F6168">
        <w:fldChar w:fldCharType="begin"/>
      </w:r>
      <w:r w:rsidR="00457BBC" w:rsidRPr="000F6168">
        <w:instrText xml:space="preserve"> REF _Ref47470058 \h </w:instrText>
      </w:r>
      <w:r w:rsidR="00457BBC" w:rsidRPr="000F6168">
        <w:fldChar w:fldCharType="separate"/>
      </w:r>
      <w:r w:rsidR="00AD3BE1" w:rsidRPr="000F6168">
        <w:t xml:space="preserve">Figure </w:t>
      </w:r>
      <w:r w:rsidR="00AD3BE1">
        <w:rPr>
          <w:noProof/>
        </w:rPr>
        <w:t>1</w:t>
      </w:r>
      <w:r w:rsidR="00457BBC" w:rsidRPr="000F6168">
        <w:fldChar w:fldCharType="end"/>
      </w:r>
      <w:r w:rsidR="00457BBC" w:rsidRPr="000F6168">
        <w:t>.</w:t>
      </w:r>
    </w:p>
    <w:p w14:paraId="20674A38" w14:textId="77777777" w:rsidR="00D97CE1" w:rsidRPr="000F6168" w:rsidRDefault="00D97CE1" w:rsidP="00DD343D"/>
    <w:p w14:paraId="0AD30690" w14:textId="4D5A687C" w:rsidR="00FD2499" w:rsidRPr="000F6168" w:rsidRDefault="00FD2499" w:rsidP="00390419">
      <w:pPr>
        <w:jc w:val="center"/>
      </w:pPr>
      <w:r w:rsidRPr="000F6168">
        <w:object w:dxaOrig="4846" w:dyaOrig="2070" w14:anchorId="2716E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03.5pt" o:ole="">
            <v:imagedata r:id="rId12" o:title=""/>
          </v:shape>
          <o:OLEObject Type="Embed" ProgID="Visio.Drawing.15" ShapeID="_x0000_i1025" DrawAspect="Content" ObjectID="_1664998687" r:id="rId13"/>
        </w:object>
      </w:r>
    </w:p>
    <w:p w14:paraId="1AF22CAC" w14:textId="7F273722" w:rsidR="00B95B06" w:rsidRPr="000F6168" w:rsidRDefault="00B95B06" w:rsidP="00390419">
      <w:pPr>
        <w:pStyle w:val="Caption"/>
        <w:jc w:val="center"/>
      </w:pPr>
      <w:bookmarkStart w:id="4" w:name="_Ref47470058"/>
      <w:r w:rsidRPr="000F6168">
        <w:t xml:space="preserve">Figure </w:t>
      </w:r>
      <w:fldSimple w:instr=" SEQ Figure \* ARABIC ">
        <w:r w:rsidR="00AD3BE1">
          <w:rPr>
            <w:noProof/>
          </w:rPr>
          <w:t>1</w:t>
        </w:r>
      </w:fldSimple>
      <w:bookmarkEnd w:id="4"/>
      <w:r w:rsidRPr="000F6168">
        <w:t xml:space="preserve">: Search space set switching </w:t>
      </w:r>
      <w:r w:rsidR="00457BBC" w:rsidRPr="000F6168">
        <w:t>by various switching mechanisms</w:t>
      </w:r>
    </w:p>
    <w:p w14:paraId="1DCC02F8" w14:textId="77777777" w:rsidR="00D97CE1" w:rsidRPr="000F6168" w:rsidRDefault="00D97CE1" w:rsidP="00D97CE1"/>
    <w:p w14:paraId="149EEFBD" w14:textId="10F682E6" w:rsidR="00524D9D" w:rsidRPr="000F6168" w:rsidRDefault="00703FA9" w:rsidP="005A3D27">
      <w:pPr>
        <w:pStyle w:val="Heading3"/>
        <w:jc w:val="both"/>
        <w:rPr>
          <w:lang w:val="en-US"/>
        </w:rPr>
      </w:pPr>
      <w:bookmarkStart w:id="5" w:name="_Ref53943987"/>
      <w:r w:rsidRPr="000F6168">
        <w:rPr>
          <w:lang w:val="en-US"/>
        </w:rPr>
        <w:t>PDCCH monitoring skip indication</w:t>
      </w:r>
      <w:bookmarkEnd w:id="5"/>
    </w:p>
    <w:p w14:paraId="5C086807" w14:textId="1B50F551" w:rsidR="00302646" w:rsidRPr="000F6168" w:rsidRDefault="00C42D24" w:rsidP="005A3D27">
      <w:r w:rsidRPr="000F6168">
        <w:t>Indication of PDCCH skip</w:t>
      </w:r>
      <w:r w:rsidR="00122470" w:rsidRPr="000F6168">
        <w:t>ping,</w:t>
      </w:r>
      <w:r w:rsidRPr="000F6168">
        <w:t xml:space="preserve"> or go-to-sleep </w:t>
      </w:r>
      <w:r w:rsidR="00122470" w:rsidRPr="000F6168">
        <w:t xml:space="preserve">signal, </w:t>
      </w:r>
      <w:r w:rsidR="00E41471" w:rsidRPr="000F6168">
        <w:t xml:space="preserve">was discussed in Rel-16 without any conclusion. </w:t>
      </w:r>
      <w:r w:rsidR="00E11F35" w:rsidRPr="000F6168">
        <w:t xml:space="preserve">There are </w:t>
      </w:r>
      <w:r w:rsidR="00856221" w:rsidRPr="000F6168">
        <w:t>a</w:t>
      </w:r>
      <w:r w:rsidR="00E41471" w:rsidRPr="000F6168">
        <w:t xml:space="preserve"> few outstanding issues </w:t>
      </w:r>
      <w:r w:rsidR="00856221" w:rsidRPr="000F6168">
        <w:t xml:space="preserve">identified during the discussion: </w:t>
      </w:r>
      <w:r w:rsidR="005E55E2" w:rsidRPr="000F6168">
        <w:t>a) signaling overhead, b) handling</w:t>
      </w:r>
      <w:r w:rsidR="006B2922" w:rsidRPr="000F6168">
        <w:t xml:space="preserve"> potential</w:t>
      </w:r>
      <w:r w:rsidR="005E55E2" w:rsidRPr="000F6168">
        <w:t xml:space="preserve"> HARQ retransmission</w:t>
      </w:r>
      <w:r w:rsidR="006B2922" w:rsidRPr="000F6168">
        <w:t xml:space="preserve"> during the indicated </w:t>
      </w:r>
      <w:r w:rsidR="001F5EE0" w:rsidRPr="000F6168">
        <w:t xml:space="preserve">skip duration. </w:t>
      </w:r>
      <w:r w:rsidR="0062656B" w:rsidRPr="000F6168">
        <w:t>Fortunately, those issues can easily be addressed by simple enhancements.</w:t>
      </w:r>
    </w:p>
    <w:p w14:paraId="271274D2" w14:textId="4BF08FD2" w:rsidR="0062656B" w:rsidRPr="000F6168" w:rsidRDefault="0062656B" w:rsidP="005A3D27">
      <w:r w:rsidRPr="000F6168">
        <w:t>First of all, for low-</w:t>
      </w:r>
      <w:r w:rsidR="00C3082E" w:rsidRPr="000F6168">
        <w:t xml:space="preserve">overhead signaling, </w:t>
      </w:r>
      <w:r w:rsidR="002F3B62" w:rsidRPr="000F6168">
        <w:t>we can resort to the same princi</w:t>
      </w:r>
      <w:r w:rsidR="008F5B34" w:rsidRPr="000F6168">
        <w:t xml:space="preserve">ple as Rel-16 power saving schemes, such as the cross-slot scheduling and SCell dormancy adaptation. That is, along with a scheduling grant, a scheduling DCI can also </w:t>
      </w:r>
      <w:r w:rsidR="001A5E26" w:rsidRPr="000F6168">
        <w:t>indicate the UE to skip PDCCH monitoring for a certain duration of time</w:t>
      </w:r>
      <w:r w:rsidR="000E6F53" w:rsidRPr="000F6168">
        <w:t xml:space="preserve">, as shown in </w:t>
      </w:r>
      <w:r w:rsidR="0069677F" w:rsidRPr="000F6168">
        <w:fldChar w:fldCharType="begin"/>
      </w:r>
      <w:r w:rsidR="0069677F" w:rsidRPr="000F6168">
        <w:instrText xml:space="preserve"> REF _Ref47471379 \h </w:instrText>
      </w:r>
      <w:r w:rsidR="0069677F" w:rsidRPr="000F6168">
        <w:fldChar w:fldCharType="separate"/>
      </w:r>
      <w:r w:rsidR="00AD3BE1" w:rsidRPr="000F6168">
        <w:t xml:space="preserve">Figure </w:t>
      </w:r>
      <w:r w:rsidR="00AD3BE1">
        <w:rPr>
          <w:noProof/>
        </w:rPr>
        <w:t>2</w:t>
      </w:r>
      <w:r w:rsidR="0069677F" w:rsidRPr="000F6168">
        <w:fldChar w:fldCharType="end"/>
      </w:r>
      <w:r w:rsidR="00DA7ACD">
        <w:t xml:space="preserve"> (b)</w:t>
      </w:r>
      <w:r w:rsidR="001A5E26" w:rsidRPr="000F6168">
        <w:t xml:space="preserve">. </w:t>
      </w:r>
      <w:r w:rsidR="00341D93" w:rsidRPr="000F6168">
        <w:t xml:space="preserve">Further details, such as how to support multiple skip durations and when to start the </w:t>
      </w:r>
      <w:r w:rsidR="001A5E26" w:rsidRPr="000F6168">
        <w:t xml:space="preserve">skip duration may </w:t>
      </w:r>
      <w:r w:rsidR="00341D93" w:rsidRPr="000F6168">
        <w:t>further be discussed</w:t>
      </w:r>
      <w:r w:rsidR="0064748F" w:rsidRPr="000F6168">
        <w:t xml:space="preserve"> during Rel-17.</w:t>
      </w:r>
    </w:p>
    <w:p w14:paraId="04907369" w14:textId="53C148D0" w:rsidR="0064748F" w:rsidRPr="000F6168" w:rsidRDefault="0064748F" w:rsidP="005A3D27">
      <w:r w:rsidRPr="000F6168">
        <w:t xml:space="preserve">Also, for handling any potential HARQ retransmission, </w:t>
      </w:r>
      <w:r w:rsidR="00AF2B2B" w:rsidRPr="000F6168">
        <w:t>the UE may keep</w:t>
      </w:r>
      <w:r w:rsidR="00F312C5" w:rsidRPr="000F6168">
        <w:t xml:space="preserve"> monitoring PDCCHs </w:t>
      </w:r>
      <w:r w:rsidR="00742117" w:rsidRPr="000F6168">
        <w:t xml:space="preserve">at least </w:t>
      </w:r>
      <w:r w:rsidR="00F312C5" w:rsidRPr="000F6168">
        <w:t xml:space="preserve">in a discontinuous manner during the skip duration. </w:t>
      </w:r>
      <w:r w:rsidR="0058026C" w:rsidRPr="000F6168">
        <w:t>Similar to</w:t>
      </w:r>
      <w:r w:rsidR="00CE2363" w:rsidRPr="000F6168">
        <w:t xml:space="preserve"> the existing UE b</w:t>
      </w:r>
      <w:r w:rsidR="00DA7ACD">
        <w:t>e</w:t>
      </w:r>
      <w:r w:rsidR="00CE2363" w:rsidRPr="000F6168">
        <w:t>havior for handling</w:t>
      </w:r>
      <w:r w:rsidR="00300F72" w:rsidRPr="000F6168">
        <w:t xml:space="preserve"> </w:t>
      </w:r>
      <w:r w:rsidR="0058026C" w:rsidRPr="000F6168">
        <w:t xml:space="preserve">HARQ </w:t>
      </w:r>
      <w:r w:rsidR="00B92C30" w:rsidRPr="000F6168">
        <w:t>retransmission</w:t>
      </w:r>
      <w:r w:rsidR="00300F72" w:rsidRPr="000F6168">
        <w:t xml:space="preserve"> </w:t>
      </w:r>
      <w:r w:rsidR="00BE3434" w:rsidRPr="000F6168">
        <w:t>during</w:t>
      </w:r>
      <w:r w:rsidR="00B92C30" w:rsidRPr="000F6168">
        <w:t xml:space="preserve"> the</w:t>
      </w:r>
      <w:r w:rsidR="00BE3434" w:rsidRPr="000F6168">
        <w:t xml:space="preserve"> DRX operation</w:t>
      </w:r>
      <w:r w:rsidR="00B92C30" w:rsidRPr="000F6168">
        <w:t>, a set of timers</w:t>
      </w:r>
      <w:r w:rsidR="00CE2363" w:rsidRPr="000F6168">
        <w:t xml:space="preserve"> (e.g., </w:t>
      </w:r>
      <w:r w:rsidR="00727111" w:rsidRPr="000F6168">
        <w:t>RTT timer and retransmission timer</w:t>
      </w:r>
      <w:r w:rsidR="00CE2363" w:rsidRPr="000F6168">
        <w:t>)</w:t>
      </w:r>
      <w:r w:rsidR="00727111" w:rsidRPr="000F6168">
        <w:t xml:space="preserve"> </w:t>
      </w:r>
      <w:r w:rsidR="00425A6C" w:rsidRPr="000F6168">
        <w:t xml:space="preserve">may be </w:t>
      </w:r>
      <w:r w:rsidR="002A7CE9" w:rsidRPr="000F6168">
        <w:t>configured</w:t>
      </w:r>
      <w:r w:rsidR="00BD16D6" w:rsidRPr="000F6168">
        <w:t xml:space="preserve"> per HARQ process</w:t>
      </w:r>
      <w:r w:rsidR="00B243F5" w:rsidRPr="000F6168">
        <w:t xml:space="preserve"> to control the UE’s discontinuous</w:t>
      </w:r>
      <w:r w:rsidR="00BD16D6" w:rsidRPr="000F6168">
        <w:t xml:space="preserve"> PDCCH monitoring behavior</w:t>
      </w:r>
      <w:r w:rsidR="009656AC" w:rsidRPr="000F6168">
        <w:t xml:space="preserve">. </w:t>
      </w:r>
      <w:r w:rsidR="00875D12" w:rsidRPr="000F6168">
        <w:t>In this manner, a</w:t>
      </w:r>
      <w:r w:rsidR="009656AC" w:rsidRPr="000F6168">
        <w:t xml:space="preserve">lthough the overall power saving gain may be compromised by not </w:t>
      </w:r>
      <w:r w:rsidR="00DE638B" w:rsidRPr="000F6168">
        <w:t>remaining in sleep for the entire skip duration,</w:t>
      </w:r>
      <w:r w:rsidR="00C54E1F" w:rsidRPr="000F6168">
        <w:t xml:space="preserve"> </w:t>
      </w:r>
      <w:r w:rsidR="00875D12" w:rsidRPr="000F6168">
        <w:t>the latency performance is never sacrificed.</w:t>
      </w:r>
    </w:p>
    <w:p w14:paraId="57EBEF5A" w14:textId="3DD6D20A" w:rsidR="00875D12" w:rsidRPr="000F6168" w:rsidRDefault="00875D12" w:rsidP="00875D12">
      <w:pPr>
        <w:pStyle w:val="Caption"/>
      </w:pPr>
      <w:bookmarkStart w:id="6" w:name="_Toc54383026"/>
      <w:r w:rsidRPr="000F6168">
        <w:t xml:space="preserve">Proposal </w:t>
      </w:r>
      <w:fldSimple w:instr=" SEQ Proposal \* ARABIC ">
        <w:r w:rsidR="00AD3BE1">
          <w:rPr>
            <w:noProof/>
          </w:rPr>
          <w:t>2</w:t>
        </w:r>
      </w:fldSimple>
      <w:r w:rsidRPr="000F6168">
        <w:t xml:space="preserve">: Scheduling DCI-based PDCCH skip indication is considered as a Rel-17 </w:t>
      </w:r>
      <w:r w:rsidR="0071713E" w:rsidRPr="000F6168">
        <w:t xml:space="preserve">connected-mode power saving scheme. </w:t>
      </w:r>
      <w:r w:rsidR="00310439" w:rsidRPr="000F6168">
        <w:t xml:space="preserve">During the indicated skip duration, the UE </w:t>
      </w:r>
      <w:r w:rsidR="00EC48D7" w:rsidRPr="000F6168">
        <w:t>can still monitor PDCCH in a discontinuous manner to handle potential HARQ retransmissions.</w:t>
      </w:r>
      <w:bookmarkEnd w:id="6"/>
      <w:r w:rsidR="00786FF2" w:rsidRPr="000F6168">
        <w:t xml:space="preserve"> </w:t>
      </w:r>
    </w:p>
    <w:p w14:paraId="26669C8B" w14:textId="032B0DA0" w:rsidR="008D23D3" w:rsidRPr="000F6168" w:rsidRDefault="008D23D3" w:rsidP="008D23D3"/>
    <w:p w14:paraId="25B6767D" w14:textId="5327F4CE" w:rsidR="00B029F9" w:rsidRPr="000F6168" w:rsidRDefault="00B029F9" w:rsidP="00390419">
      <w:pPr>
        <w:jc w:val="center"/>
      </w:pPr>
      <w:r w:rsidRPr="000F6168">
        <w:object w:dxaOrig="20116" w:dyaOrig="3150" w14:anchorId="2595E798">
          <v:shape id="_x0000_i1026" type="#_x0000_t75" style="width:503pt;height:79pt" o:ole="">
            <v:imagedata r:id="rId14" o:title=""/>
          </v:shape>
          <o:OLEObject Type="Embed" ProgID="Visio.Drawing.15" ShapeID="_x0000_i1026" DrawAspect="Content" ObjectID="_1664998688" r:id="rId15"/>
        </w:object>
      </w:r>
    </w:p>
    <w:p w14:paraId="3EE76405" w14:textId="12E6E6DA" w:rsidR="000E6F53" w:rsidRPr="000F6168" w:rsidRDefault="000E6F53" w:rsidP="00390419">
      <w:pPr>
        <w:jc w:val="center"/>
      </w:pPr>
      <w:r w:rsidRPr="000F6168">
        <w:t>(a)</w:t>
      </w:r>
    </w:p>
    <w:p w14:paraId="4F5F0270" w14:textId="3F330519" w:rsidR="00B029F9" w:rsidRPr="000F6168" w:rsidRDefault="00B029F9" w:rsidP="00390419">
      <w:pPr>
        <w:jc w:val="center"/>
      </w:pPr>
      <w:r w:rsidRPr="000F6168">
        <w:object w:dxaOrig="20116" w:dyaOrig="3871" w14:anchorId="4A67BA7F">
          <v:shape id="_x0000_i1027" type="#_x0000_t75" style="width:503pt;height:97pt" o:ole="">
            <v:imagedata r:id="rId16" o:title=""/>
          </v:shape>
          <o:OLEObject Type="Embed" ProgID="Visio.Drawing.15" ShapeID="_x0000_i1027" DrawAspect="Content" ObjectID="_1664998689" r:id="rId17"/>
        </w:object>
      </w:r>
    </w:p>
    <w:p w14:paraId="23576A00" w14:textId="0076537C" w:rsidR="000E6F53" w:rsidRPr="000F6168" w:rsidRDefault="000E6F53" w:rsidP="00390419">
      <w:pPr>
        <w:jc w:val="center"/>
      </w:pPr>
      <w:r w:rsidRPr="000F6168">
        <w:t>(b)</w:t>
      </w:r>
    </w:p>
    <w:p w14:paraId="566D6B2D" w14:textId="6CC11B4F" w:rsidR="000E6F53" w:rsidRDefault="000E6F53" w:rsidP="00390419">
      <w:pPr>
        <w:pStyle w:val="Caption"/>
        <w:jc w:val="center"/>
      </w:pPr>
      <w:bookmarkStart w:id="7" w:name="_Ref47471379"/>
      <w:r w:rsidRPr="000F6168">
        <w:t xml:space="preserve">Figure </w:t>
      </w:r>
      <w:fldSimple w:instr=" SEQ Figure \* ARABIC ">
        <w:r w:rsidR="00AD3BE1">
          <w:rPr>
            <w:noProof/>
          </w:rPr>
          <w:t>2</w:t>
        </w:r>
      </w:fldSimple>
      <w:bookmarkEnd w:id="7"/>
      <w:r w:rsidRPr="000F6168">
        <w:t>:</w:t>
      </w:r>
      <w:r w:rsidR="000313FA" w:rsidRPr="000F6168">
        <w:t xml:space="preserve"> (a) Normal PDCCH </w:t>
      </w:r>
      <w:r w:rsidR="002D378C" w:rsidRPr="000F6168">
        <w:t>monitoring, (b)</w:t>
      </w:r>
      <w:r w:rsidRPr="000F6168">
        <w:t xml:space="preserve"> PDCCH skip</w:t>
      </w:r>
      <w:r w:rsidR="002D378C" w:rsidRPr="000F6168">
        <w:t>ping</w:t>
      </w:r>
      <w:r w:rsidRPr="000F6168">
        <w:t xml:space="preserve"> indicat</w:t>
      </w:r>
      <w:r w:rsidR="002D378C" w:rsidRPr="000F6168">
        <w:t xml:space="preserve">ed </w:t>
      </w:r>
      <w:r w:rsidRPr="000F6168">
        <w:t xml:space="preserve">by </w:t>
      </w:r>
      <w:r w:rsidR="000313FA" w:rsidRPr="000F6168">
        <w:t>scheduling DCI</w:t>
      </w:r>
    </w:p>
    <w:p w14:paraId="2F817B8C" w14:textId="77777777" w:rsidR="00CE5EC0" w:rsidRPr="00CE5EC0" w:rsidRDefault="00CE5EC0" w:rsidP="00CE5EC0"/>
    <w:p w14:paraId="1F3B9633" w14:textId="0900C453" w:rsidR="00AA6FED" w:rsidRDefault="00FE79E9" w:rsidP="00AA6FED">
      <w:pPr>
        <w:pStyle w:val="Heading2"/>
      </w:pPr>
      <w:r>
        <w:t xml:space="preserve">Evaluation </w:t>
      </w:r>
      <w:r w:rsidR="00AD732A">
        <w:t>results</w:t>
      </w:r>
    </w:p>
    <w:p w14:paraId="7D786B1B" w14:textId="531A099E" w:rsidR="00AD732A" w:rsidRDefault="00997386" w:rsidP="00997386">
      <w:pPr>
        <w:pStyle w:val="Heading3"/>
      </w:pPr>
      <w:bookmarkStart w:id="8" w:name="_Ref54271325"/>
      <w:r>
        <w:t>System</w:t>
      </w:r>
      <w:r w:rsidR="00BC70FB">
        <w:t>-level simulation parameters</w:t>
      </w:r>
      <w:bookmarkEnd w:id="8"/>
    </w:p>
    <w:p w14:paraId="61F87D65" w14:textId="49A6E243" w:rsidR="00C762A9" w:rsidRDefault="005B4618" w:rsidP="00BC70FB">
      <w:r w:rsidRPr="00313428">
        <w:t xml:space="preserve">The power models and system-level simulation assumptions for the evaluation are </w:t>
      </w:r>
      <w:r w:rsidR="00C762A9">
        <w:t>based on TR 38.840</w:t>
      </w:r>
      <w:r w:rsidR="00435FB7">
        <w:t xml:space="preserve">. </w:t>
      </w:r>
      <w:r w:rsidR="008C306C">
        <w:t xml:space="preserve">Some new assumptions for Rel-17 are </w:t>
      </w:r>
      <w:r w:rsidR="00535B6E">
        <w:t xml:space="preserve">also captured from </w:t>
      </w:r>
      <w:r w:rsidR="006D4E69">
        <w:fldChar w:fldCharType="begin"/>
      </w:r>
      <w:r w:rsidR="006D4E69">
        <w:instrText xml:space="preserve"> REF _Ref53944606 \r \h </w:instrText>
      </w:r>
      <w:r w:rsidR="006D4E69">
        <w:fldChar w:fldCharType="separate"/>
      </w:r>
      <w:r w:rsidR="00AD3BE1">
        <w:t>[2]</w:t>
      </w:r>
      <w:r w:rsidR="006D4E69">
        <w:fldChar w:fldCharType="end"/>
      </w:r>
      <w:r w:rsidR="00BB3FB3">
        <w:t>, which are described in the following table:</w:t>
      </w:r>
    </w:p>
    <w:tbl>
      <w:tblPr>
        <w:tblStyle w:val="TableGrid"/>
        <w:tblW w:w="0" w:type="auto"/>
        <w:tblLook w:val="04A0" w:firstRow="1" w:lastRow="0" w:firstColumn="1" w:lastColumn="0" w:noHBand="0" w:noVBand="1"/>
      </w:tblPr>
      <w:tblGrid>
        <w:gridCol w:w="1255"/>
        <w:gridCol w:w="1080"/>
        <w:gridCol w:w="7627"/>
      </w:tblGrid>
      <w:tr w:rsidR="00FA504E" w:rsidRPr="00B30F45" w14:paraId="2B0AEB8D" w14:textId="77777777" w:rsidTr="00EB6A9F">
        <w:trPr>
          <w:trHeight w:val="50"/>
        </w:trPr>
        <w:tc>
          <w:tcPr>
            <w:tcW w:w="2335" w:type="dxa"/>
            <w:gridSpan w:val="2"/>
            <w:shd w:val="clear" w:color="auto" w:fill="E7E6E6" w:themeFill="background2"/>
            <w:vAlign w:val="center"/>
          </w:tcPr>
          <w:p w14:paraId="03C572F8" w14:textId="77777777" w:rsidR="00FA504E" w:rsidRPr="00EB6A9F" w:rsidRDefault="00FA504E" w:rsidP="00EB6A9F">
            <w:pPr>
              <w:spacing w:before="0" w:after="60"/>
              <w:jc w:val="center"/>
              <w:rPr>
                <w:b/>
              </w:rPr>
            </w:pPr>
            <w:r w:rsidRPr="00EB6A9F">
              <w:rPr>
                <w:b/>
              </w:rPr>
              <w:t>Setting</w:t>
            </w:r>
          </w:p>
        </w:tc>
        <w:tc>
          <w:tcPr>
            <w:tcW w:w="7627" w:type="dxa"/>
            <w:shd w:val="clear" w:color="auto" w:fill="E7E6E6" w:themeFill="background2"/>
            <w:vAlign w:val="center"/>
          </w:tcPr>
          <w:p w14:paraId="48D83F8D" w14:textId="77777777" w:rsidR="00FA504E" w:rsidRPr="00EB6A9F" w:rsidRDefault="00FA504E" w:rsidP="00EB6A9F">
            <w:pPr>
              <w:spacing w:before="0" w:after="60"/>
              <w:jc w:val="center"/>
              <w:rPr>
                <w:b/>
              </w:rPr>
            </w:pPr>
            <w:r w:rsidRPr="00EB6A9F">
              <w:rPr>
                <w:b/>
              </w:rPr>
              <w:t>Configuration</w:t>
            </w:r>
          </w:p>
        </w:tc>
      </w:tr>
      <w:tr w:rsidR="00FA504E" w:rsidRPr="00B30F45" w14:paraId="43B87669" w14:textId="77777777" w:rsidTr="00EB6A9F">
        <w:tc>
          <w:tcPr>
            <w:tcW w:w="2335" w:type="dxa"/>
            <w:gridSpan w:val="2"/>
            <w:shd w:val="clear" w:color="auto" w:fill="F2F2F2" w:themeFill="background1" w:themeFillShade="F2"/>
            <w:vAlign w:val="center"/>
          </w:tcPr>
          <w:p w14:paraId="5CFB4634" w14:textId="77777777" w:rsidR="00FA504E" w:rsidRPr="00EB6A9F" w:rsidRDefault="00FA504E" w:rsidP="00EB6A9F">
            <w:pPr>
              <w:spacing w:before="0" w:after="60"/>
              <w:jc w:val="center"/>
            </w:pPr>
            <w:r w:rsidRPr="00EB6A9F">
              <w:t>Power model</w:t>
            </w:r>
          </w:p>
        </w:tc>
        <w:tc>
          <w:tcPr>
            <w:tcW w:w="7627" w:type="dxa"/>
            <w:vAlign w:val="center"/>
          </w:tcPr>
          <w:p w14:paraId="2EC12BC2" w14:textId="4A883825" w:rsidR="00FA504E" w:rsidRPr="00EB6A9F" w:rsidRDefault="00FA504E" w:rsidP="00EB6A9F">
            <w:pPr>
              <w:spacing w:before="0" w:after="60"/>
              <w:jc w:val="center"/>
            </w:pPr>
            <w:r w:rsidRPr="00EB6A9F">
              <w:t>FR1 and FR2 baseline (</w:t>
            </w:r>
            <w:r w:rsidR="001E4025" w:rsidRPr="00EB6A9F">
              <w:t>TR 38.840</w:t>
            </w:r>
            <w:r w:rsidRPr="00EB6A9F">
              <w:t>)</w:t>
            </w:r>
          </w:p>
        </w:tc>
      </w:tr>
      <w:tr w:rsidR="00FA504E" w:rsidRPr="00B30F45" w14:paraId="5D36D39C" w14:textId="77777777" w:rsidTr="00EB6A9F">
        <w:tc>
          <w:tcPr>
            <w:tcW w:w="2335" w:type="dxa"/>
            <w:gridSpan w:val="2"/>
            <w:shd w:val="clear" w:color="auto" w:fill="F2F2F2" w:themeFill="background1" w:themeFillShade="F2"/>
            <w:vAlign w:val="center"/>
          </w:tcPr>
          <w:p w14:paraId="16A3782F" w14:textId="77777777" w:rsidR="00FA504E" w:rsidRPr="00EB6A9F" w:rsidRDefault="00FA504E" w:rsidP="00EB6A9F">
            <w:pPr>
              <w:spacing w:before="0" w:after="60"/>
              <w:jc w:val="center"/>
            </w:pPr>
            <w:r w:rsidRPr="00EB6A9F">
              <w:t>System parameters</w:t>
            </w:r>
          </w:p>
        </w:tc>
        <w:tc>
          <w:tcPr>
            <w:tcW w:w="7627" w:type="dxa"/>
            <w:vAlign w:val="center"/>
          </w:tcPr>
          <w:p w14:paraId="184654FB" w14:textId="77777777" w:rsidR="00FA504E" w:rsidRPr="00EB6A9F" w:rsidRDefault="00FA504E" w:rsidP="00EB6A9F">
            <w:pPr>
              <w:spacing w:before="0" w:after="60"/>
              <w:jc w:val="center"/>
            </w:pPr>
            <w:r w:rsidRPr="00EB6A9F">
              <w:t>DL-only, Dense urban (Table A2.1-1 in TR38.802)</w:t>
            </w:r>
          </w:p>
        </w:tc>
      </w:tr>
      <w:tr w:rsidR="00FA504E" w:rsidRPr="00B30F45" w14:paraId="03820811" w14:textId="77777777" w:rsidTr="00EB6A9F">
        <w:tc>
          <w:tcPr>
            <w:tcW w:w="2335" w:type="dxa"/>
            <w:gridSpan w:val="2"/>
            <w:shd w:val="clear" w:color="auto" w:fill="F2F2F2" w:themeFill="background1" w:themeFillShade="F2"/>
            <w:vAlign w:val="center"/>
          </w:tcPr>
          <w:p w14:paraId="1B60EAE1" w14:textId="77777777" w:rsidR="00FA504E" w:rsidRPr="00EB6A9F" w:rsidRDefault="00FA504E" w:rsidP="00EB6A9F">
            <w:pPr>
              <w:spacing w:before="0" w:after="60"/>
              <w:jc w:val="center"/>
            </w:pPr>
            <w:r w:rsidRPr="00EB6A9F">
              <w:t>Traffic model</w:t>
            </w:r>
          </w:p>
        </w:tc>
        <w:tc>
          <w:tcPr>
            <w:tcW w:w="7627" w:type="dxa"/>
            <w:vAlign w:val="center"/>
          </w:tcPr>
          <w:p w14:paraId="701F8018" w14:textId="77777777" w:rsidR="00FA504E" w:rsidRPr="00EB6A9F" w:rsidRDefault="00FA504E" w:rsidP="00EB6A9F">
            <w:pPr>
              <w:spacing w:before="0" w:after="60"/>
              <w:jc w:val="center"/>
            </w:pPr>
            <w:r w:rsidRPr="00EB6A9F">
              <w:t>FTP model 3 (0.5Mbyte, λ=5)</w:t>
            </w:r>
          </w:p>
        </w:tc>
      </w:tr>
      <w:tr w:rsidR="00FA504E" w:rsidRPr="00B30F45" w14:paraId="1C2E6E5F" w14:textId="77777777" w:rsidTr="00EB6A9F">
        <w:tc>
          <w:tcPr>
            <w:tcW w:w="2335" w:type="dxa"/>
            <w:gridSpan w:val="2"/>
            <w:shd w:val="clear" w:color="auto" w:fill="F2F2F2" w:themeFill="background1" w:themeFillShade="F2"/>
            <w:vAlign w:val="center"/>
          </w:tcPr>
          <w:p w14:paraId="2E7C24A8" w14:textId="77777777" w:rsidR="00FA504E" w:rsidRPr="00EB6A9F" w:rsidRDefault="00FA504E" w:rsidP="00EB6A9F">
            <w:pPr>
              <w:spacing w:before="0" w:after="60"/>
              <w:jc w:val="center"/>
            </w:pPr>
            <w:r w:rsidRPr="00EB6A9F">
              <w:t>UE distribution</w:t>
            </w:r>
          </w:p>
        </w:tc>
        <w:tc>
          <w:tcPr>
            <w:tcW w:w="7627" w:type="dxa"/>
            <w:vAlign w:val="center"/>
          </w:tcPr>
          <w:p w14:paraId="6B970883" w14:textId="77777777" w:rsidR="00FA504E" w:rsidRPr="00EB6A9F" w:rsidRDefault="00FA504E" w:rsidP="00EB6A9F">
            <w:pPr>
              <w:spacing w:before="0" w:after="60"/>
              <w:jc w:val="center"/>
            </w:pPr>
            <w:r w:rsidRPr="00EB6A9F">
              <w:t>10 UEs per cell, 100% outdoor</w:t>
            </w:r>
          </w:p>
        </w:tc>
      </w:tr>
      <w:tr w:rsidR="00FA504E" w:rsidRPr="00B30F45" w14:paraId="0C39443F" w14:textId="77777777" w:rsidTr="00EB6A9F">
        <w:tc>
          <w:tcPr>
            <w:tcW w:w="2335" w:type="dxa"/>
            <w:gridSpan w:val="2"/>
            <w:shd w:val="clear" w:color="auto" w:fill="F2F2F2" w:themeFill="background1" w:themeFillShade="F2"/>
            <w:vAlign w:val="center"/>
          </w:tcPr>
          <w:p w14:paraId="3C4CF1D4" w14:textId="77777777" w:rsidR="00FA504E" w:rsidRPr="00EB6A9F" w:rsidRDefault="00FA504E" w:rsidP="00EB6A9F">
            <w:pPr>
              <w:spacing w:before="0" w:after="60"/>
              <w:jc w:val="center"/>
            </w:pPr>
            <w:r w:rsidRPr="00EB6A9F">
              <w:t>Scheduling</w:t>
            </w:r>
          </w:p>
        </w:tc>
        <w:tc>
          <w:tcPr>
            <w:tcW w:w="7627" w:type="dxa"/>
            <w:vAlign w:val="center"/>
          </w:tcPr>
          <w:p w14:paraId="6EE61825" w14:textId="572880A6" w:rsidR="00FA504E" w:rsidRPr="00EB6A9F" w:rsidRDefault="00890DFA" w:rsidP="00EB6A9F">
            <w:pPr>
              <w:spacing w:before="0" w:after="60"/>
              <w:jc w:val="center"/>
            </w:pPr>
            <w:r w:rsidRPr="00EB6A9F">
              <w:t>Proportional fair</w:t>
            </w:r>
            <w:r w:rsidR="00FA504E" w:rsidRPr="00EB6A9F">
              <w:t>, TDM-based</w:t>
            </w:r>
            <w:r w:rsidR="008D3321" w:rsidRPr="00EB6A9F">
              <w:t xml:space="preserve"> for both FR1 and FR2</w:t>
            </w:r>
          </w:p>
        </w:tc>
      </w:tr>
      <w:tr w:rsidR="00DB33BD" w:rsidRPr="00B30F45" w14:paraId="1CBEF690" w14:textId="77777777" w:rsidTr="00EB6A9F">
        <w:trPr>
          <w:trHeight w:val="445"/>
        </w:trPr>
        <w:tc>
          <w:tcPr>
            <w:tcW w:w="1255" w:type="dxa"/>
            <w:vMerge w:val="restart"/>
            <w:shd w:val="clear" w:color="auto" w:fill="F2F2F2" w:themeFill="background1" w:themeFillShade="F2"/>
            <w:vAlign w:val="center"/>
          </w:tcPr>
          <w:p w14:paraId="686EED74" w14:textId="45680C6E" w:rsidR="00DB33BD" w:rsidRPr="00EB6A9F" w:rsidRDefault="00DB33BD" w:rsidP="00EB6A9F">
            <w:pPr>
              <w:spacing w:before="0" w:after="60"/>
              <w:jc w:val="center"/>
            </w:pPr>
            <w:r w:rsidRPr="00EB6A9F">
              <w:t>PDCCH monitoring Periodicity</w:t>
            </w:r>
          </w:p>
        </w:tc>
        <w:tc>
          <w:tcPr>
            <w:tcW w:w="1080" w:type="dxa"/>
            <w:shd w:val="clear" w:color="auto" w:fill="F2F2F2" w:themeFill="background1" w:themeFillShade="F2"/>
            <w:vAlign w:val="center"/>
          </w:tcPr>
          <w:p w14:paraId="0BFBE1A8" w14:textId="46DC59B0" w:rsidR="00DB33BD" w:rsidRPr="00EB6A9F" w:rsidRDefault="00DB33BD" w:rsidP="00EB6A9F">
            <w:pPr>
              <w:spacing w:before="0" w:after="60"/>
              <w:jc w:val="center"/>
            </w:pPr>
            <w:r w:rsidRPr="00EB6A9F">
              <w:t>FR1</w:t>
            </w:r>
          </w:p>
        </w:tc>
        <w:tc>
          <w:tcPr>
            <w:tcW w:w="7627" w:type="dxa"/>
            <w:vAlign w:val="center"/>
          </w:tcPr>
          <w:p w14:paraId="55CC6156" w14:textId="6F0F55D6" w:rsidR="00DB33BD" w:rsidRPr="00EB6A9F" w:rsidRDefault="00DB33BD" w:rsidP="00EB6A9F">
            <w:pPr>
              <w:spacing w:before="0" w:after="60"/>
              <w:jc w:val="center"/>
            </w:pPr>
            <w:r w:rsidRPr="00EB6A9F">
              <w:t>{1, 2} slot(s)</w:t>
            </w:r>
          </w:p>
        </w:tc>
      </w:tr>
      <w:tr w:rsidR="00DB33BD" w:rsidRPr="00B30F45" w14:paraId="22610A42" w14:textId="77777777" w:rsidTr="00EB6A9F">
        <w:trPr>
          <w:trHeight w:val="445"/>
        </w:trPr>
        <w:tc>
          <w:tcPr>
            <w:tcW w:w="1255" w:type="dxa"/>
            <w:vMerge/>
            <w:shd w:val="clear" w:color="auto" w:fill="F2F2F2" w:themeFill="background1" w:themeFillShade="F2"/>
            <w:vAlign w:val="center"/>
          </w:tcPr>
          <w:p w14:paraId="208B7F95" w14:textId="77777777" w:rsidR="00DB33BD" w:rsidRPr="00EB6A9F" w:rsidRDefault="00DB33BD" w:rsidP="00EB6A9F">
            <w:pPr>
              <w:spacing w:before="0" w:after="60"/>
              <w:jc w:val="center"/>
            </w:pPr>
          </w:p>
        </w:tc>
        <w:tc>
          <w:tcPr>
            <w:tcW w:w="1080" w:type="dxa"/>
            <w:shd w:val="clear" w:color="auto" w:fill="F2F2F2" w:themeFill="background1" w:themeFillShade="F2"/>
            <w:vAlign w:val="center"/>
          </w:tcPr>
          <w:p w14:paraId="22AA42CF" w14:textId="4D3897EB" w:rsidR="00DB33BD" w:rsidRPr="00EB6A9F" w:rsidRDefault="00DB33BD" w:rsidP="00EB6A9F">
            <w:pPr>
              <w:spacing w:before="0" w:after="60"/>
              <w:jc w:val="center"/>
            </w:pPr>
            <w:r w:rsidRPr="00EB6A9F">
              <w:t>FR2</w:t>
            </w:r>
          </w:p>
        </w:tc>
        <w:tc>
          <w:tcPr>
            <w:tcW w:w="7627" w:type="dxa"/>
            <w:vAlign w:val="center"/>
          </w:tcPr>
          <w:p w14:paraId="78D1C434" w14:textId="5B2A8AE0" w:rsidR="00DB33BD" w:rsidRPr="00EB6A9F" w:rsidRDefault="00DB33BD" w:rsidP="00EB6A9F">
            <w:pPr>
              <w:spacing w:before="0" w:after="60"/>
              <w:jc w:val="center"/>
            </w:pPr>
            <w:r w:rsidRPr="00EB6A9F">
              <w:t>{1, 2, 4} slot(s)</w:t>
            </w:r>
          </w:p>
        </w:tc>
      </w:tr>
      <w:tr w:rsidR="00FA504E" w:rsidRPr="00B30F45" w14:paraId="7C75627F" w14:textId="77777777" w:rsidTr="00EB6A9F">
        <w:trPr>
          <w:trHeight w:val="165"/>
        </w:trPr>
        <w:tc>
          <w:tcPr>
            <w:tcW w:w="2335" w:type="dxa"/>
            <w:gridSpan w:val="2"/>
            <w:shd w:val="clear" w:color="auto" w:fill="F2F2F2" w:themeFill="background1" w:themeFillShade="F2"/>
            <w:vAlign w:val="center"/>
          </w:tcPr>
          <w:p w14:paraId="6505AF61" w14:textId="112A4C3A" w:rsidR="00FA504E" w:rsidRPr="00EB6A9F" w:rsidRDefault="00FA504E" w:rsidP="00EB6A9F">
            <w:pPr>
              <w:spacing w:before="0" w:after="60"/>
              <w:jc w:val="center"/>
            </w:pPr>
            <w:r w:rsidRPr="00EB6A9F">
              <w:t>DRX</w:t>
            </w:r>
            <w:r w:rsidR="00E03678" w:rsidRPr="00EB6A9F">
              <w:t xml:space="preserve"> configuration</w:t>
            </w:r>
          </w:p>
        </w:tc>
        <w:tc>
          <w:tcPr>
            <w:tcW w:w="7627" w:type="dxa"/>
            <w:vAlign w:val="center"/>
          </w:tcPr>
          <w:p w14:paraId="520B93DC" w14:textId="2EA987AB" w:rsidR="007A6F94" w:rsidRPr="00EB6A9F" w:rsidRDefault="009552B5" w:rsidP="00EB6A9F">
            <w:pPr>
              <w:spacing w:before="0" w:after="60"/>
              <w:jc w:val="center"/>
            </w:pPr>
            <w:r w:rsidRPr="00EB6A9F">
              <w:t>drx-onDurationTimer</w:t>
            </w:r>
            <w:r w:rsidR="00FA504E" w:rsidRPr="00EB6A9F">
              <w:t xml:space="preserve"> = 8ms, </w:t>
            </w:r>
            <w:r w:rsidRPr="00EB6A9F">
              <w:t>drx-InactivityTimer =</w:t>
            </w:r>
            <w:r w:rsidR="00FA504E" w:rsidRPr="00EB6A9F">
              <w:t xml:space="preserve"> 20ms,</w:t>
            </w:r>
            <w:r w:rsidR="00B51ECC" w:rsidRPr="00EB6A9F">
              <w:t xml:space="preserve"> </w:t>
            </w:r>
            <w:r w:rsidR="00790D2F" w:rsidRPr="00EB6A9F">
              <w:t>drx-</w:t>
            </w:r>
            <w:r w:rsidR="007E77A7" w:rsidRPr="00EB6A9F">
              <w:t>LongCycle</w:t>
            </w:r>
            <w:r w:rsidR="007A6F94" w:rsidRPr="00EB6A9F">
              <w:t xml:space="preserve"> = 160ms,</w:t>
            </w:r>
          </w:p>
          <w:p w14:paraId="1994CC7C" w14:textId="34CC0E10" w:rsidR="00FA504E" w:rsidRPr="00EB6A9F" w:rsidRDefault="007A6F94" w:rsidP="00EB6A9F">
            <w:pPr>
              <w:spacing w:before="0" w:after="60"/>
              <w:jc w:val="center"/>
            </w:pPr>
            <w:r w:rsidRPr="00EB6A9F">
              <w:t>drx-ShortCycle = 20ms,</w:t>
            </w:r>
            <w:r w:rsidR="00B51ECC" w:rsidRPr="00EB6A9F">
              <w:t xml:space="preserve"> </w:t>
            </w:r>
            <w:r w:rsidRPr="00EB6A9F">
              <w:t>drx-ShortCycleTimer = 4</w:t>
            </w:r>
          </w:p>
        </w:tc>
      </w:tr>
      <w:tr w:rsidR="00EB6A9F" w:rsidRPr="00B30F45" w14:paraId="16ACFD07" w14:textId="77777777" w:rsidTr="00CB79F5">
        <w:trPr>
          <w:trHeight w:val="217"/>
        </w:trPr>
        <w:tc>
          <w:tcPr>
            <w:tcW w:w="1255" w:type="dxa"/>
            <w:vMerge w:val="restart"/>
            <w:shd w:val="clear" w:color="auto" w:fill="F2F2F2" w:themeFill="background1" w:themeFillShade="F2"/>
            <w:vAlign w:val="center"/>
          </w:tcPr>
          <w:p w14:paraId="0DF9AF3D" w14:textId="77777777" w:rsidR="00EB6A9F" w:rsidRPr="00EB6A9F" w:rsidRDefault="00EB6A9F" w:rsidP="00CB79F5">
            <w:pPr>
              <w:spacing w:before="0" w:after="60"/>
              <w:jc w:val="center"/>
            </w:pPr>
            <w:r>
              <w:t>Cross-slog scheduling</w:t>
            </w:r>
          </w:p>
        </w:tc>
        <w:tc>
          <w:tcPr>
            <w:tcW w:w="1080" w:type="dxa"/>
            <w:shd w:val="clear" w:color="auto" w:fill="F2F2F2" w:themeFill="background1" w:themeFillShade="F2"/>
            <w:vAlign w:val="center"/>
          </w:tcPr>
          <w:p w14:paraId="3E509DD8" w14:textId="2999019F" w:rsidR="00EB6A9F" w:rsidRPr="00EB6A9F" w:rsidRDefault="00EB6A9F" w:rsidP="00CB79F5">
            <w:pPr>
              <w:spacing w:before="0" w:after="60"/>
              <w:jc w:val="center"/>
            </w:pPr>
            <w:r>
              <w:t>FR1</w:t>
            </w:r>
          </w:p>
        </w:tc>
        <w:tc>
          <w:tcPr>
            <w:tcW w:w="7627" w:type="dxa"/>
            <w:vAlign w:val="center"/>
          </w:tcPr>
          <w:p w14:paraId="44694C9D" w14:textId="6E3DB4FB" w:rsidR="00EB6A9F" w:rsidRPr="00EB6A9F" w:rsidRDefault="00851BA5" w:rsidP="00CB79F5">
            <w:pPr>
              <w:spacing w:before="0" w:after="60"/>
              <w:jc w:val="center"/>
            </w:pPr>
            <w:r>
              <w:t xml:space="preserve">Minimum </w:t>
            </w:r>
            <w:r w:rsidR="00EB6A9F" w:rsidRPr="00EB6A9F">
              <w:t xml:space="preserve">K0 adapted </w:t>
            </w:r>
            <w:r w:rsidR="00CB79F5">
              <w:t xml:space="preserve">from </w:t>
            </w:r>
            <w:r w:rsidR="00EB6A9F" w:rsidRPr="00EB6A9F">
              <w:t>0 to 1</w:t>
            </w:r>
          </w:p>
        </w:tc>
      </w:tr>
      <w:tr w:rsidR="00EB6A9F" w:rsidRPr="00B30F45" w14:paraId="386E4364" w14:textId="77777777" w:rsidTr="00CB79F5">
        <w:trPr>
          <w:trHeight w:val="216"/>
        </w:trPr>
        <w:tc>
          <w:tcPr>
            <w:tcW w:w="1255" w:type="dxa"/>
            <w:vMerge/>
            <w:shd w:val="clear" w:color="auto" w:fill="F2F2F2" w:themeFill="background1" w:themeFillShade="F2"/>
            <w:vAlign w:val="center"/>
          </w:tcPr>
          <w:p w14:paraId="37DD114D" w14:textId="77777777" w:rsidR="00EB6A9F" w:rsidRDefault="00EB6A9F" w:rsidP="00CB79F5">
            <w:pPr>
              <w:spacing w:before="0" w:after="60"/>
              <w:jc w:val="center"/>
            </w:pPr>
          </w:p>
        </w:tc>
        <w:tc>
          <w:tcPr>
            <w:tcW w:w="1080" w:type="dxa"/>
            <w:shd w:val="clear" w:color="auto" w:fill="F2F2F2" w:themeFill="background1" w:themeFillShade="F2"/>
            <w:vAlign w:val="center"/>
          </w:tcPr>
          <w:p w14:paraId="36ED8FFD" w14:textId="078666DF" w:rsidR="00EB6A9F" w:rsidRPr="00EB6A9F" w:rsidRDefault="00EB6A9F" w:rsidP="00CB79F5">
            <w:pPr>
              <w:spacing w:before="0" w:after="60"/>
              <w:jc w:val="center"/>
            </w:pPr>
            <w:r>
              <w:t>FR2</w:t>
            </w:r>
          </w:p>
        </w:tc>
        <w:tc>
          <w:tcPr>
            <w:tcW w:w="7627" w:type="dxa"/>
            <w:vAlign w:val="center"/>
          </w:tcPr>
          <w:p w14:paraId="52B9AEA8" w14:textId="08A8CC48" w:rsidR="00EB6A9F" w:rsidRPr="00EB6A9F" w:rsidRDefault="00CB79F5" w:rsidP="00CB79F5">
            <w:pPr>
              <w:spacing w:before="0" w:after="60"/>
              <w:jc w:val="center"/>
            </w:pPr>
            <w:r>
              <w:t xml:space="preserve">Minimum </w:t>
            </w:r>
            <w:r w:rsidR="00EB6A9F" w:rsidRPr="00EB6A9F">
              <w:t xml:space="preserve">K0 adapted </w:t>
            </w:r>
            <w:r>
              <w:t xml:space="preserve">from </w:t>
            </w:r>
            <w:r w:rsidR="00EB6A9F" w:rsidRPr="00EB6A9F">
              <w:t>0 to 4</w:t>
            </w:r>
          </w:p>
        </w:tc>
      </w:tr>
      <w:tr w:rsidR="00FA504E" w:rsidRPr="00B30F45" w14:paraId="6055CC61" w14:textId="77777777" w:rsidTr="00EB6A9F">
        <w:trPr>
          <w:trHeight w:val="165"/>
        </w:trPr>
        <w:tc>
          <w:tcPr>
            <w:tcW w:w="2335" w:type="dxa"/>
            <w:gridSpan w:val="2"/>
            <w:shd w:val="clear" w:color="auto" w:fill="F2F2F2" w:themeFill="background1" w:themeFillShade="F2"/>
            <w:vAlign w:val="center"/>
          </w:tcPr>
          <w:p w14:paraId="0573AECB" w14:textId="77777777" w:rsidR="00FA504E" w:rsidRPr="00EB6A9F" w:rsidRDefault="00FA504E" w:rsidP="00EB6A9F">
            <w:pPr>
              <w:spacing w:before="0" w:after="60"/>
              <w:jc w:val="center"/>
            </w:pPr>
            <w:r w:rsidRPr="00EB6A9F">
              <w:t>WUS</w:t>
            </w:r>
          </w:p>
        </w:tc>
        <w:tc>
          <w:tcPr>
            <w:tcW w:w="7627" w:type="dxa"/>
            <w:vAlign w:val="center"/>
          </w:tcPr>
          <w:p w14:paraId="42054C88" w14:textId="39DAC79A" w:rsidR="00A37D9D" w:rsidRPr="00EB6A9F" w:rsidRDefault="000E75D8" w:rsidP="00A37D9D">
            <w:pPr>
              <w:spacing w:before="0" w:after="60"/>
              <w:jc w:val="center"/>
            </w:pPr>
            <w:r>
              <w:t>O</w:t>
            </w:r>
            <w:r w:rsidR="00850ECC" w:rsidRPr="00EB6A9F">
              <w:t>ffset</w:t>
            </w:r>
            <w:r w:rsidR="00446718" w:rsidRPr="00EB6A9F">
              <w:t xml:space="preserve"> to DRX ON</w:t>
            </w:r>
            <w:r w:rsidR="00FA504E" w:rsidRPr="00EB6A9F">
              <w:t xml:space="preserve"> = </w:t>
            </w:r>
            <w:r w:rsidR="000970E0" w:rsidRPr="00EB6A9F">
              <w:t>2ms</w:t>
            </w:r>
            <w:r w:rsidR="00D93A2F">
              <w:t>, p</w:t>
            </w:r>
            <w:r w:rsidR="00B4443C">
              <w:t xml:space="preserve">ower </w:t>
            </w:r>
            <w:r>
              <w:t xml:space="preserve">consumption of </w:t>
            </w:r>
            <w:r w:rsidR="00B4443C">
              <w:t>70 for FR1 and 122.</w:t>
            </w:r>
            <w:r w:rsidR="00D93A2F">
              <w:t>5 for FR2</w:t>
            </w:r>
          </w:p>
        </w:tc>
      </w:tr>
    </w:tbl>
    <w:p w14:paraId="736368AE" w14:textId="77777777" w:rsidR="00E15A42" w:rsidRPr="00313428" w:rsidRDefault="00E15A42" w:rsidP="00E15A42">
      <w:pPr>
        <w:spacing w:before="120"/>
      </w:pPr>
      <w:r w:rsidRPr="00313428">
        <w:t>We consider both FR1 and FR2 for the evaluation. In particular, some simulation parameters, e.g., those related to analog beamforming, are specific to FR2 and listed in the following table.</w:t>
      </w:r>
    </w:p>
    <w:tbl>
      <w:tblPr>
        <w:tblStyle w:val="TableGrid"/>
        <w:tblW w:w="0" w:type="auto"/>
        <w:tblLook w:val="04A0" w:firstRow="1" w:lastRow="0" w:firstColumn="1" w:lastColumn="0" w:noHBand="0" w:noVBand="1"/>
      </w:tblPr>
      <w:tblGrid>
        <w:gridCol w:w="2335"/>
        <w:gridCol w:w="7627"/>
      </w:tblGrid>
      <w:tr w:rsidR="00E15A42" w:rsidRPr="00B30F45" w14:paraId="496A0305" w14:textId="77777777" w:rsidTr="002D2DD4">
        <w:trPr>
          <w:trHeight w:val="50"/>
        </w:trPr>
        <w:tc>
          <w:tcPr>
            <w:tcW w:w="2335" w:type="dxa"/>
            <w:shd w:val="clear" w:color="auto" w:fill="E7E6E6" w:themeFill="background2"/>
            <w:vAlign w:val="center"/>
          </w:tcPr>
          <w:p w14:paraId="47B3C157" w14:textId="77777777" w:rsidR="00E15A42" w:rsidRPr="00075F9A" w:rsidRDefault="00E15A42" w:rsidP="00E84B2D">
            <w:pPr>
              <w:spacing w:before="0" w:after="60"/>
              <w:jc w:val="center"/>
              <w:rPr>
                <w:b/>
              </w:rPr>
            </w:pPr>
            <w:r w:rsidRPr="00075F9A">
              <w:rPr>
                <w:b/>
              </w:rPr>
              <w:t>Setting</w:t>
            </w:r>
            <w:r>
              <w:rPr>
                <w:b/>
              </w:rPr>
              <w:t xml:space="preserve"> (FR2)</w:t>
            </w:r>
          </w:p>
        </w:tc>
        <w:tc>
          <w:tcPr>
            <w:tcW w:w="7627" w:type="dxa"/>
            <w:shd w:val="clear" w:color="auto" w:fill="E7E6E6" w:themeFill="background2"/>
            <w:vAlign w:val="center"/>
          </w:tcPr>
          <w:p w14:paraId="560CF042" w14:textId="77777777" w:rsidR="00E15A42" w:rsidRPr="001959D9" w:rsidRDefault="00E15A42" w:rsidP="00E84B2D">
            <w:pPr>
              <w:spacing w:before="0" w:after="60"/>
              <w:jc w:val="center"/>
              <w:rPr>
                <w:b/>
              </w:rPr>
            </w:pPr>
            <w:r w:rsidRPr="001959D9">
              <w:rPr>
                <w:b/>
              </w:rPr>
              <w:t>Configuration</w:t>
            </w:r>
          </w:p>
        </w:tc>
      </w:tr>
      <w:tr w:rsidR="00E15A42" w:rsidRPr="00B30F45" w14:paraId="7BA9D210" w14:textId="77777777" w:rsidTr="002D2DD4">
        <w:tc>
          <w:tcPr>
            <w:tcW w:w="2335" w:type="dxa"/>
            <w:shd w:val="clear" w:color="auto" w:fill="F2F2F2" w:themeFill="background1" w:themeFillShade="F2"/>
            <w:vAlign w:val="center"/>
          </w:tcPr>
          <w:p w14:paraId="0302B801" w14:textId="77777777" w:rsidR="00E15A42" w:rsidRPr="00B30F45" w:rsidRDefault="00E15A42" w:rsidP="00E84B2D">
            <w:pPr>
              <w:spacing w:before="0" w:after="60"/>
              <w:jc w:val="center"/>
            </w:pPr>
            <w:r w:rsidRPr="00B30F45">
              <w:t>gNB antenna array</w:t>
            </w:r>
          </w:p>
        </w:tc>
        <w:tc>
          <w:tcPr>
            <w:tcW w:w="7627" w:type="dxa"/>
            <w:vAlign w:val="center"/>
          </w:tcPr>
          <w:p w14:paraId="1A59A208" w14:textId="77777777" w:rsidR="00E15A42" w:rsidRPr="00B30F45" w:rsidRDefault="00E15A42" w:rsidP="00E84B2D">
            <w:pPr>
              <w:spacing w:before="0" w:after="60"/>
              <w:jc w:val="center"/>
            </w:pPr>
            <w:r w:rsidRPr="00B30F45">
              <w:t>{M, N, P} = {32, 8, 2}, single panel</w:t>
            </w:r>
          </w:p>
        </w:tc>
      </w:tr>
      <w:tr w:rsidR="00E15A42" w:rsidRPr="00B30F45" w14:paraId="505E59AC" w14:textId="77777777" w:rsidTr="002D2DD4">
        <w:tc>
          <w:tcPr>
            <w:tcW w:w="2335" w:type="dxa"/>
            <w:shd w:val="clear" w:color="auto" w:fill="F2F2F2" w:themeFill="background1" w:themeFillShade="F2"/>
            <w:vAlign w:val="center"/>
          </w:tcPr>
          <w:p w14:paraId="3CECB9C2" w14:textId="77777777" w:rsidR="00E15A42" w:rsidRPr="00B30F45" w:rsidRDefault="00E15A42" w:rsidP="00E84B2D">
            <w:pPr>
              <w:spacing w:before="0" w:after="60"/>
              <w:jc w:val="center"/>
            </w:pPr>
            <w:r w:rsidRPr="00B30F45">
              <w:t>gNB EIRP</w:t>
            </w:r>
          </w:p>
        </w:tc>
        <w:tc>
          <w:tcPr>
            <w:tcW w:w="7627" w:type="dxa"/>
            <w:vAlign w:val="center"/>
          </w:tcPr>
          <w:p w14:paraId="609F0A63" w14:textId="77777777" w:rsidR="00E15A42" w:rsidRPr="00B30F45" w:rsidRDefault="00E15A42" w:rsidP="00E84B2D">
            <w:pPr>
              <w:spacing w:before="0" w:after="60"/>
              <w:jc w:val="center"/>
            </w:pPr>
            <w:r w:rsidRPr="00B30F45">
              <w:rPr>
                <w:b/>
                <w:bCs/>
              </w:rPr>
              <w:t>60 dBm</w:t>
            </w:r>
            <w:r w:rsidRPr="00B30F45">
              <w:t xml:space="preserve"> = 8 dBi [ant gain] + 10*log10(256) [array gain] + 10*log(256) [tx pwr across elem] + 4 dBm [pwr per el]</w:t>
            </w:r>
          </w:p>
        </w:tc>
      </w:tr>
      <w:tr w:rsidR="00E15A42" w:rsidRPr="00B30F45" w14:paraId="0704A9EB" w14:textId="77777777" w:rsidTr="002D2DD4">
        <w:tc>
          <w:tcPr>
            <w:tcW w:w="2335" w:type="dxa"/>
            <w:shd w:val="clear" w:color="auto" w:fill="F2F2F2" w:themeFill="background1" w:themeFillShade="F2"/>
            <w:vAlign w:val="center"/>
          </w:tcPr>
          <w:p w14:paraId="4EA2EFEE" w14:textId="77777777" w:rsidR="00E15A42" w:rsidRPr="00B30F45" w:rsidRDefault="00E15A42" w:rsidP="00E84B2D">
            <w:pPr>
              <w:spacing w:before="0" w:after="60"/>
              <w:jc w:val="center"/>
            </w:pPr>
            <w:r w:rsidRPr="00B30F45">
              <w:t>gNB analog BF codebook</w:t>
            </w:r>
          </w:p>
        </w:tc>
        <w:tc>
          <w:tcPr>
            <w:tcW w:w="7627" w:type="dxa"/>
            <w:vAlign w:val="center"/>
          </w:tcPr>
          <w:p w14:paraId="5BDB4C22" w14:textId="77777777" w:rsidR="00E15A42" w:rsidRPr="00B30F45" w:rsidRDefault="00E15A42" w:rsidP="00E84B2D">
            <w:pPr>
              <w:spacing w:before="0" w:after="60"/>
              <w:jc w:val="center"/>
            </w:pPr>
            <w:r w:rsidRPr="00B30F45">
              <w:t>DFT codebook with 66 beams (22 [azimuth] * 3 [elevation])</w:t>
            </w:r>
          </w:p>
        </w:tc>
      </w:tr>
      <w:tr w:rsidR="00E15A42" w:rsidRPr="00B30F45" w14:paraId="4B093595" w14:textId="77777777" w:rsidTr="002D2DD4">
        <w:tc>
          <w:tcPr>
            <w:tcW w:w="2335" w:type="dxa"/>
            <w:shd w:val="clear" w:color="auto" w:fill="F2F2F2" w:themeFill="background1" w:themeFillShade="F2"/>
            <w:vAlign w:val="center"/>
          </w:tcPr>
          <w:p w14:paraId="58F74F9F" w14:textId="77777777" w:rsidR="00E15A42" w:rsidRPr="00B30F45" w:rsidRDefault="00E15A42" w:rsidP="00E84B2D">
            <w:pPr>
              <w:spacing w:before="0" w:after="60"/>
              <w:jc w:val="center"/>
            </w:pPr>
            <w:r w:rsidRPr="00B30F45">
              <w:t>UE antenna array</w:t>
            </w:r>
          </w:p>
        </w:tc>
        <w:tc>
          <w:tcPr>
            <w:tcW w:w="7627" w:type="dxa"/>
            <w:vAlign w:val="center"/>
          </w:tcPr>
          <w:p w14:paraId="22B669E5" w14:textId="77777777" w:rsidR="00E15A42" w:rsidRPr="00B30F45" w:rsidRDefault="00E15A42" w:rsidP="00E84B2D">
            <w:pPr>
              <w:spacing w:before="0" w:after="60"/>
              <w:jc w:val="center"/>
            </w:pPr>
            <w:r w:rsidRPr="00B30F45">
              <w:t>{M, N, P} = {2, 2, 2}, two panels</w:t>
            </w:r>
          </w:p>
        </w:tc>
      </w:tr>
    </w:tbl>
    <w:p w14:paraId="5F13DDC8" w14:textId="755D0D9E" w:rsidR="001C5C2A" w:rsidRPr="00075F9A" w:rsidRDefault="00E84B2D" w:rsidP="00266CDB">
      <w:pPr>
        <w:spacing w:before="120"/>
      </w:pPr>
      <w:r>
        <w:t>W</w:t>
      </w:r>
      <w:r w:rsidR="001C5C2A" w:rsidRPr="00313428">
        <w:t xml:space="preserve">e evaluated the average resource utilization (RU) per UE with the given traffic model. As shown in the following table, the resource utilization per UE is about 5%, which gives 50% cell RU (10 UEs per cell). Note that this value is close to the recommended range (10-50%) </w:t>
      </w:r>
      <w:r w:rsidR="0013622E">
        <w:t xml:space="preserve">for FTP model 3 </w:t>
      </w:r>
      <w:r w:rsidR="001C5C2A" w:rsidRPr="00313428">
        <w:t>in TR 36.814.</w:t>
      </w:r>
    </w:p>
    <w:tbl>
      <w:tblPr>
        <w:tblStyle w:val="TableGrid"/>
        <w:tblW w:w="8404" w:type="dxa"/>
        <w:jc w:val="center"/>
        <w:tblLook w:val="04A0" w:firstRow="1" w:lastRow="0" w:firstColumn="1" w:lastColumn="0" w:noHBand="0" w:noVBand="1"/>
      </w:tblPr>
      <w:tblGrid>
        <w:gridCol w:w="4107"/>
        <w:gridCol w:w="4297"/>
      </w:tblGrid>
      <w:tr w:rsidR="001C5C2A" w:rsidRPr="00B30F45" w14:paraId="20DF92BA" w14:textId="77777777" w:rsidTr="002D2DD4">
        <w:trPr>
          <w:trHeight w:val="152"/>
          <w:jc w:val="center"/>
        </w:trPr>
        <w:tc>
          <w:tcPr>
            <w:tcW w:w="4107" w:type="dxa"/>
            <w:shd w:val="clear" w:color="auto" w:fill="E7E6E6" w:themeFill="background2"/>
            <w:vAlign w:val="center"/>
            <w:hideMark/>
          </w:tcPr>
          <w:p w14:paraId="18303413" w14:textId="77777777" w:rsidR="001C5C2A" w:rsidRPr="00313428" w:rsidRDefault="001C5C2A" w:rsidP="002D2DD4">
            <w:pPr>
              <w:spacing w:before="60" w:after="60"/>
              <w:jc w:val="center"/>
              <w:rPr>
                <w:rFonts w:ascii="Arial" w:hAnsi="Arial" w:cs="Arial"/>
                <w:b/>
                <w:lang w:eastAsia="ko-KR"/>
              </w:rPr>
            </w:pPr>
            <w:r w:rsidRPr="00313428">
              <w:rPr>
                <w:b/>
                <w:lang w:eastAsia="ko-KR"/>
              </w:rPr>
              <w:lastRenderedPageBreak/>
              <w:t>Traffic model</w:t>
            </w:r>
          </w:p>
        </w:tc>
        <w:tc>
          <w:tcPr>
            <w:tcW w:w="4297" w:type="dxa"/>
            <w:shd w:val="clear" w:color="auto" w:fill="E7E6E6" w:themeFill="background2"/>
            <w:vAlign w:val="center"/>
            <w:hideMark/>
          </w:tcPr>
          <w:p w14:paraId="0C4A7E65" w14:textId="77777777" w:rsidR="001C5C2A" w:rsidRPr="00313428" w:rsidRDefault="001C5C2A" w:rsidP="002D2DD4">
            <w:pPr>
              <w:spacing w:before="60" w:after="60"/>
              <w:jc w:val="center"/>
              <w:rPr>
                <w:rFonts w:ascii="Arial" w:hAnsi="Arial" w:cs="Arial"/>
                <w:b/>
                <w:lang w:eastAsia="ko-KR"/>
              </w:rPr>
            </w:pPr>
            <w:r w:rsidRPr="00313428">
              <w:rPr>
                <w:b/>
                <w:lang w:eastAsia="ko-KR"/>
              </w:rPr>
              <w:t>Percentage of average scheduled slots per UE</w:t>
            </w:r>
          </w:p>
        </w:tc>
      </w:tr>
      <w:tr w:rsidR="001C5C2A" w:rsidRPr="00B30F45" w14:paraId="486E66E4" w14:textId="77777777" w:rsidTr="002D2DD4">
        <w:trPr>
          <w:trHeight w:val="88"/>
          <w:jc w:val="center"/>
        </w:trPr>
        <w:tc>
          <w:tcPr>
            <w:tcW w:w="4107" w:type="dxa"/>
            <w:shd w:val="clear" w:color="auto" w:fill="F2F2F2" w:themeFill="background1" w:themeFillShade="F2"/>
            <w:vAlign w:val="center"/>
            <w:hideMark/>
          </w:tcPr>
          <w:p w14:paraId="3C0CBF97" w14:textId="77777777" w:rsidR="001C5C2A" w:rsidRPr="00B30F45" w:rsidRDefault="001C5C2A" w:rsidP="002D2DD4">
            <w:pPr>
              <w:spacing w:before="60" w:after="60"/>
              <w:jc w:val="center"/>
              <w:rPr>
                <w:rFonts w:ascii="Arial" w:hAnsi="Arial" w:cs="Arial"/>
                <w:lang w:eastAsia="ko-KR"/>
              </w:rPr>
            </w:pPr>
            <w:r w:rsidRPr="00B30F45">
              <w:rPr>
                <w:lang w:eastAsia="ko-KR"/>
              </w:rPr>
              <w:t>Full Buffer</w:t>
            </w:r>
          </w:p>
        </w:tc>
        <w:tc>
          <w:tcPr>
            <w:tcW w:w="4297" w:type="dxa"/>
            <w:vAlign w:val="center"/>
            <w:hideMark/>
          </w:tcPr>
          <w:p w14:paraId="501ECB69" w14:textId="77777777" w:rsidR="001C5C2A" w:rsidRPr="00313428" w:rsidRDefault="001C5C2A" w:rsidP="002D2DD4">
            <w:pPr>
              <w:spacing w:before="60" w:after="60"/>
              <w:jc w:val="center"/>
              <w:rPr>
                <w:lang w:eastAsia="ko-KR"/>
              </w:rPr>
            </w:pPr>
            <w:r w:rsidRPr="00313428">
              <w:rPr>
                <w:lang w:eastAsia="ko-KR"/>
              </w:rPr>
              <w:t>10.0%</w:t>
            </w:r>
          </w:p>
        </w:tc>
      </w:tr>
      <w:tr w:rsidR="001C5C2A" w:rsidRPr="00B30F45" w14:paraId="62ACA4FB" w14:textId="77777777" w:rsidTr="002D2DD4">
        <w:trPr>
          <w:trHeight w:val="47"/>
          <w:jc w:val="center"/>
        </w:trPr>
        <w:tc>
          <w:tcPr>
            <w:tcW w:w="4107" w:type="dxa"/>
            <w:shd w:val="clear" w:color="auto" w:fill="F2F2F2" w:themeFill="background1" w:themeFillShade="F2"/>
            <w:vAlign w:val="center"/>
            <w:hideMark/>
          </w:tcPr>
          <w:p w14:paraId="4E6E1A4F" w14:textId="77777777" w:rsidR="001C5C2A" w:rsidRPr="00B30F45" w:rsidRDefault="001C5C2A" w:rsidP="002D2DD4">
            <w:pPr>
              <w:spacing w:before="60" w:after="60"/>
              <w:jc w:val="center"/>
              <w:rPr>
                <w:rFonts w:ascii="Arial" w:hAnsi="Arial" w:cs="Arial"/>
                <w:lang w:eastAsia="ko-KR"/>
              </w:rPr>
            </w:pPr>
            <w:r w:rsidRPr="00B30F45">
              <w:rPr>
                <w:lang w:eastAsia="ko-KR"/>
              </w:rPr>
              <w:t xml:space="preserve">FTP model 3 (0.5 Mbyte, </w:t>
            </w:r>
            <w:r w:rsidRPr="00B30F45">
              <w:rPr>
                <w:rFonts w:ascii="Calibri" w:hAnsi="Calibri"/>
                <w:lang w:eastAsia="ko-KR"/>
              </w:rPr>
              <w:t>λ</w:t>
            </w:r>
            <w:r w:rsidRPr="00B30F45">
              <w:rPr>
                <w:lang w:eastAsia="ko-KR"/>
              </w:rPr>
              <w:t xml:space="preserve"> = 5 files/sec)</w:t>
            </w:r>
          </w:p>
        </w:tc>
        <w:tc>
          <w:tcPr>
            <w:tcW w:w="4297" w:type="dxa"/>
            <w:vAlign w:val="center"/>
            <w:hideMark/>
          </w:tcPr>
          <w:p w14:paraId="70F42E99" w14:textId="77777777" w:rsidR="001C5C2A" w:rsidRPr="00313428" w:rsidRDefault="001C5C2A" w:rsidP="002D2DD4">
            <w:pPr>
              <w:spacing w:before="60" w:after="60"/>
              <w:jc w:val="center"/>
              <w:rPr>
                <w:lang w:eastAsia="ko-KR"/>
              </w:rPr>
            </w:pPr>
            <w:r w:rsidRPr="00313428">
              <w:rPr>
                <w:lang w:eastAsia="ko-KR"/>
              </w:rPr>
              <w:t>5.2%</w:t>
            </w:r>
          </w:p>
        </w:tc>
      </w:tr>
    </w:tbl>
    <w:p w14:paraId="1B75B859" w14:textId="77777777" w:rsidR="00890A0B" w:rsidRPr="00E15A42" w:rsidRDefault="00890A0B" w:rsidP="00BC70FB"/>
    <w:p w14:paraId="0ED8D7EC" w14:textId="3EEA867F" w:rsidR="00890A0B" w:rsidRDefault="00EE5E46" w:rsidP="00973637">
      <w:pPr>
        <w:pStyle w:val="Heading3"/>
      </w:pPr>
      <w:r>
        <w:t>Power consumption</w:t>
      </w:r>
    </w:p>
    <w:p w14:paraId="46368ACE" w14:textId="19099223" w:rsidR="00EE6768" w:rsidRPr="00EE6768" w:rsidRDefault="00EE6768" w:rsidP="00EE6768">
      <w:pPr>
        <w:rPr>
          <w:lang w:val="en-GB"/>
        </w:rPr>
      </w:pPr>
      <w:r>
        <w:rPr>
          <w:lang w:val="en-GB"/>
        </w:rPr>
        <w:t>For power consumption evaluation and comparison, we consid</w:t>
      </w:r>
      <w:r w:rsidR="007A3785">
        <w:rPr>
          <w:lang w:val="en-GB"/>
        </w:rPr>
        <w:t>er the scenarios in the following table.</w:t>
      </w:r>
    </w:p>
    <w:tbl>
      <w:tblPr>
        <w:tblStyle w:val="TableGrid"/>
        <w:tblW w:w="0" w:type="auto"/>
        <w:jc w:val="center"/>
        <w:tblLook w:val="04A0" w:firstRow="1" w:lastRow="0" w:firstColumn="1" w:lastColumn="0" w:noHBand="0" w:noVBand="1"/>
      </w:tblPr>
      <w:tblGrid>
        <w:gridCol w:w="2335"/>
        <w:gridCol w:w="5400"/>
      </w:tblGrid>
      <w:tr w:rsidR="003D0582" w:rsidRPr="00B30F45" w14:paraId="0D31738E" w14:textId="77777777" w:rsidTr="00EA27DB">
        <w:trPr>
          <w:jc w:val="center"/>
        </w:trPr>
        <w:tc>
          <w:tcPr>
            <w:tcW w:w="2335" w:type="dxa"/>
            <w:shd w:val="clear" w:color="auto" w:fill="F2F2F2" w:themeFill="background1" w:themeFillShade="F2"/>
            <w:vAlign w:val="center"/>
          </w:tcPr>
          <w:p w14:paraId="079F004A" w14:textId="5F6BB2CB" w:rsidR="003D0582" w:rsidRPr="00075F9A" w:rsidRDefault="003D0582" w:rsidP="00A95203">
            <w:pPr>
              <w:spacing w:before="0" w:after="60"/>
              <w:jc w:val="center"/>
            </w:pPr>
            <w:r w:rsidRPr="00075F9A">
              <w:t>Baseline</w:t>
            </w:r>
            <w:r w:rsidR="00346831">
              <w:t>-1</w:t>
            </w:r>
          </w:p>
        </w:tc>
        <w:tc>
          <w:tcPr>
            <w:tcW w:w="5400" w:type="dxa"/>
            <w:vAlign w:val="center"/>
          </w:tcPr>
          <w:p w14:paraId="6885C906" w14:textId="77777777" w:rsidR="00346831" w:rsidRDefault="00346831" w:rsidP="00A95203">
            <w:pPr>
              <w:pStyle w:val="ListParagraph"/>
              <w:numPr>
                <w:ilvl w:val="0"/>
                <w:numId w:val="13"/>
              </w:numPr>
              <w:spacing w:before="0"/>
              <w:ind w:left="576" w:hanging="288"/>
            </w:pPr>
            <w:r>
              <w:t>No DRX configuration</w:t>
            </w:r>
          </w:p>
          <w:p w14:paraId="5C9CFA0C" w14:textId="0ECCDD1E" w:rsidR="006476FE" w:rsidRPr="00313428" w:rsidRDefault="00346831" w:rsidP="00A95203">
            <w:pPr>
              <w:pStyle w:val="ListParagraph"/>
              <w:numPr>
                <w:ilvl w:val="0"/>
                <w:numId w:val="13"/>
              </w:numPr>
              <w:spacing w:before="0" w:after="60"/>
              <w:ind w:left="576" w:hanging="288"/>
            </w:pPr>
            <w:r>
              <w:t>No power saving scheme</w:t>
            </w:r>
          </w:p>
        </w:tc>
      </w:tr>
      <w:tr w:rsidR="00346831" w:rsidRPr="00B30F45" w14:paraId="4FC22AE0" w14:textId="77777777" w:rsidTr="00EA27DB">
        <w:trPr>
          <w:jc w:val="center"/>
        </w:trPr>
        <w:tc>
          <w:tcPr>
            <w:tcW w:w="2335" w:type="dxa"/>
            <w:shd w:val="clear" w:color="auto" w:fill="F2F2F2" w:themeFill="background1" w:themeFillShade="F2"/>
            <w:vAlign w:val="center"/>
          </w:tcPr>
          <w:p w14:paraId="2AF6D304" w14:textId="39507F6A" w:rsidR="00346831" w:rsidRPr="00075F9A" w:rsidRDefault="00346831" w:rsidP="00A95203">
            <w:pPr>
              <w:spacing w:before="0" w:after="60"/>
              <w:jc w:val="center"/>
            </w:pPr>
            <w:r>
              <w:t>Baseline-2</w:t>
            </w:r>
          </w:p>
        </w:tc>
        <w:tc>
          <w:tcPr>
            <w:tcW w:w="5400" w:type="dxa"/>
            <w:vAlign w:val="center"/>
          </w:tcPr>
          <w:p w14:paraId="3191CB51" w14:textId="6A901BA9" w:rsidR="00346831" w:rsidRDefault="00793C1E" w:rsidP="00A95203">
            <w:pPr>
              <w:pStyle w:val="ListParagraph"/>
              <w:numPr>
                <w:ilvl w:val="0"/>
                <w:numId w:val="13"/>
              </w:numPr>
              <w:spacing w:before="0"/>
              <w:ind w:left="576" w:hanging="288"/>
            </w:pPr>
            <w:r>
              <w:t>DRX configuration (</w:t>
            </w:r>
            <w:r w:rsidR="00EA27DB">
              <w:t>both Long</w:t>
            </w:r>
            <w:r>
              <w:t xml:space="preserve"> and Short</w:t>
            </w:r>
            <w:r w:rsidR="00EA27DB">
              <w:t>, or Long</w:t>
            </w:r>
            <w:r w:rsidR="000B684D">
              <w:t xml:space="preserve"> </w:t>
            </w:r>
            <w:r w:rsidR="00EA27DB">
              <w:t>only</w:t>
            </w:r>
            <w:r>
              <w:t>)</w:t>
            </w:r>
          </w:p>
          <w:p w14:paraId="5A0A1485" w14:textId="1B44CC85" w:rsidR="00793C1E" w:rsidRDefault="00793C1E" w:rsidP="00A95203">
            <w:pPr>
              <w:pStyle w:val="ListParagraph"/>
              <w:numPr>
                <w:ilvl w:val="0"/>
                <w:numId w:val="13"/>
              </w:numPr>
              <w:spacing w:before="0" w:after="60"/>
              <w:ind w:left="576" w:hanging="288"/>
            </w:pPr>
            <w:r>
              <w:t xml:space="preserve">No </w:t>
            </w:r>
            <w:r w:rsidR="006F3BB4">
              <w:t>power saving scheme</w:t>
            </w:r>
            <w:r>
              <w:t xml:space="preserve"> </w:t>
            </w:r>
          </w:p>
        </w:tc>
      </w:tr>
      <w:tr w:rsidR="003D0582" w:rsidRPr="00B30F45" w14:paraId="19FFCC76" w14:textId="77777777" w:rsidTr="00EA27DB">
        <w:trPr>
          <w:jc w:val="center"/>
        </w:trPr>
        <w:tc>
          <w:tcPr>
            <w:tcW w:w="2335" w:type="dxa"/>
            <w:shd w:val="clear" w:color="auto" w:fill="F2F2F2" w:themeFill="background1" w:themeFillShade="F2"/>
            <w:vAlign w:val="center"/>
          </w:tcPr>
          <w:p w14:paraId="3D2AD638" w14:textId="31D4E8B3" w:rsidR="003D0582" w:rsidRPr="00B30F45" w:rsidRDefault="003D0582" w:rsidP="00A95203">
            <w:pPr>
              <w:spacing w:before="0" w:after="60"/>
              <w:jc w:val="center"/>
            </w:pPr>
            <w:r>
              <w:t>WUS</w:t>
            </w:r>
            <w:r w:rsidR="008A5609">
              <w:t>-</w:t>
            </w:r>
            <w:r w:rsidR="003869EF">
              <w:t>Long</w:t>
            </w:r>
          </w:p>
        </w:tc>
        <w:tc>
          <w:tcPr>
            <w:tcW w:w="5400" w:type="dxa"/>
            <w:vAlign w:val="center"/>
          </w:tcPr>
          <w:p w14:paraId="0F1F23FB" w14:textId="23BB476D" w:rsidR="00E518A2" w:rsidRDefault="00880E1E" w:rsidP="00A95203">
            <w:pPr>
              <w:pStyle w:val="ListParagraph"/>
              <w:numPr>
                <w:ilvl w:val="0"/>
                <w:numId w:val="13"/>
              </w:numPr>
              <w:spacing w:before="0"/>
              <w:ind w:left="576" w:hanging="288"/>
            </w:pPr>
            <w:r>
              <w:t>In addition to ‘Baseline-2’</w:t>
            </w:r>
          </w:p>
          <w:p w14:paraId="679A0006" w14:textId="2E766576" w:rsidR="003D0582" w:rsidRPr="00313428" w:rsidRDefault="006476FE" w:rsidP="00A95203">
            <w:pPr>
              <w:pStyle w:val="ListParagraph"/>
              <w:numPr>
                <w:ilvl w:val="0"/>
                <w:numId w:val="13"/>
              </w:numPr>
              <w:spacing w:before="0" w:after="60"/>
              <w:ind w:left="576" w:hanging="288"/>
            </w:pPr>
            <w:r>
              <w:t>WUS</w:t>
            </w:r>
            <w:r w:rsidR="006F3BB4">
              <w:t xml:space="preserve"> for Long DRX cycles</w:t>
            </w:r>
          </w:p>
        </w:tc>
      </w:tr>
      <w:tr w:rsidR="003869EF" w:rsidRPr="00B30F45" w14:paraId="12308705" w14:textId="77777777" w:rsidTr="00EA27DB">
        <w:trPr>
          <w:jc w:val="center"/>
        </w:trPr>
        <w:tc>
          <w:tcPr>
            <w:tcW w:w="2335" w:type="dxa"/>
            <w:shd w:val="clear" w:color="auto" w:fill="F2F2F2" w:themeFill="background1" w:themeFillShade="F2"/>
            <w:vAlign w:val="center"/>
          </w:tcPr>
          <w:p w14:paraId="6917F0DD" w14:textId="448BCF12" w:rsidR="003869EF" w:rsidRDefault="003869EF" w:rsidP="00A95203">
            <w:pPr>
              <w:spacing w:after="60"/>
              <w:jc w:val="center"/>
            </w:pPr>
            <w:r>
              <w:t>WUS</w:t>
            </w:r>
            <w:r w:rsidR="008A5609">
              <w:t>-</w:t>
            </w:r>
            <w:r w:rsidR="00442CC6">
              <w:t>Short</w:t>
            </w:r>
          </w:p>
        </w:tc>
        <w:tc>
          <w:tcPr>
            <w:tcW w:w="5400" w:type="dxa"/>
            <w:vAlign w:val="center"/>
          </w:tcPr>
          <w:p w14:paraId="0FF59D85" w14:textId="68EA0A93" w:rsidR="003869EF" w:rsidRDefault="008A5609" w:rsidP="002F2BCF">
            <w:pPr>
              <w:pStyle w:val="ListParagraph"/>
              <w:numPr>
                <w:ilvl w:val="0"/>
                <w:numId w:val="13"/>
              </w:numPr>
              <w:spacing w:before="0"/>
              <w:ind w:left="576" w:hanging="288"/>
            </w:pPr>
            <w:r>
              <w:t>In addition to ‘</w:t>
            </w:r>
            <w:r w:rsidR="002F2BCF">
              <w:t>Baseline-2</w:t>
            </w:r>
            <w:r>
              <w:t>’</w:t>
            </w:r>
          </w:p>
          <w:p w14:paraId="568046FF" w14:textId="0915EF4B" w:rsidR="008A5609" w:rsidRDefault="008A5609" w:rsidP="002F2BCF">
            <w:pPr>
              <w:pStyle w:val="ListParagraph"/>
              <w:numPr>
                <w:ilvl w:val="0"/>
                <w:numId w:val="13"/>
              </w:numPr>
              <w:spacing w:before="0" w:after="60"/>
              <w:ind w:left="576" w:hanging="288"/>
            </w:pPr>
            <w:r>
              <w:t xml:space="preserve">WUS for both Long and Short DRX </w:t>
            </w:r>
          </w:p>
        </w:tc>
      </w:tr>
      <w:tr w:rsidR="003D0582" w:rsidRPr="00B30F45" w14:paraId="07CDBD30" w14:textId="77777777" w:rsidTr="00EA27DB">
        <w:trPr>
          <w:trHeight w:val="273"/>
          <w:jc w:val="center"/>
        </w:trPr>
        <w:tc>
          <w:tcPr>
            <w:tcW w:w="2335" w:type="dxa"/>
            <w:shd w:val="clear" w:color="auto" w:fill="F2F2F2" w:themeFill="background1" w:themeFillShade="F2"/>
            <w:vAlign w:val="center"/>
          </w:tcPr>
          <w:p w14:paraId="05537C06" w14:textId="2504FB5E" w:rsidR="003D0582" w:rsidRPr="00B30F45" w:rsidRDefault="00E518A2" w:rsidP="00A95203">
            <w:pPr>
              <w:spacing w:before="0" w:after="60"/>
              <w:jc w:val="center"/>
            </w:pPr>
            <w:r>
              <w:t>Cross-slot scheduling</w:t>
            </w:r>
          </w:p>
        </w:tc>
        <w:tc>
          <w:tcPr>
            <w:tcW w:w="5400" w:type="dxa"/>
            <w:vAlign w:val="center"/>
          </w:tcPr>
          <w:p w14:paraId="2DDE1193" w14:textId="36C65CD0" w:rsidR="00C24601" w:rsidRDefault="00C24601" w:rsidP="00A95203">
            <w:pPr>
              <w:pStyle w:val="ListParagraph"/>
              <w:numPr>
                <w:ilvl w:val="0"/>
                <w:numId w:val="13"/>
              </w:numPr>
              <w:spacing w:before="0"/>
              <w:ind w:left="576" w:hanging="288"/>
            </w:pPr>
            <w:r>
              <w:t>In addition to ‘WUS</w:t>
            </w:r>
            <w:r w:rsidR="002F2BCF">
              <w:t>-Long</w:t>
            </w:r>
            <w:r>
              <w:t>’</w:t>
            </w:r>
          </w:p>
          <w:p w14:paraId="49CAE55B" w14:textId="59831A6C" w:rsidR="003D0582" w:rsidRPr="00313428" w:rsidRDefault="00E518A2" w:rsidP="00A95203">
            <w:pPr>
              <w:pStyle w:val="ListParagraph"/>
              <w:numPr>
                <w:ilvl w:val="0"/>
                <w:numId w:val="13"/>
              </w:numPr>
              <w:spacing w:before="0" w:after="60"/>
              <w:ind w:left="576" w:hanging="288"/>
            </w:pPr>
            <w:r>
              <w:t>Cross-slot scheduling</w:t>
            </w:r>
            <w:r w:rsidR="00EC1838">
              <w:t xml:space="preserve"> </w:t>
            </w:r>
            <w:r w:rsidR="00C24601">
              <w:t>adaptation</w:t>
            </w:r>
          </w:p>
        </w:tc>
      </w:tr>
      <w:tr w:rsidR="00C24601" w:rsidRPr="00B30F45" w14:paraId="32B4C33B" w14:textId="77777777" w:rsidTr="00EA27DB">
        <w:trPr>
          <w:jc w:val="center"/>
        </w:trPr>
        <w:tc>
          <w:tcPr>
            <w:tcW w:w="2335" w:type="dxa"/>
            <w:shd w:val="clear" w:color="auto" w:fill="F2F2F2" w:themeFill="background1" w:themeFillShade="F2"/>
            <w:vAlign w:val="center"/>
          </w:tcPr>
          <w:p w14:paraId="099B3FA6" w14:textId="7107C2A1" w:rsidR="00C24601" w:rsidRDefault="00C24601" w:rsidP="00A95203">
            <w:pPr>
              <w:spacing w:before="0" w:after="60"/>
              <w:jc w:val="center"/>
            </w:pPr>
            <w:r>
              <w:t>PDCCH skip</w:t>
            </w:r>
          </w:p>
        </w:tc>
        <w:tc>
          <w:tcPr>
            <w:tcW w:w="5400" w:type="dxa"/>
            <w:vAlign w:val="center"/>
          </w:tcPr>
          <w:p w14:paraId="218C9A0B" w14:textId="72E36B8E" w:rsidR="00C24601" w:rsidRDefault="00C24601" w:rsidP="00C706AB">
            <w:pPr>
              <w:pStyle w:val="ListParagraph"/>
              <w:numPr>
                <w:ilvl w:val="0"/>
                <w:numId w:val="13"/>
              </w:numPr>
              <w:spacing w:before="0"/>
              <w:ind w:left="576" w:hanging="288"/>
            </w:pPr>
            <w:r>
              <w:t>In addition to ‘Cross-slot scheduling’</w:t>
            </w:r>
          </w:p>
          <w:p w14:paraId="02BB7FD9" w14:textId="7D7D2F22" w:rsidR="00C24601" w:rsidRDefault="00034A9C" w:rsidP="00C706AB">
            <w:pPr>
              <w:pStyle w:val="ListParagraph"/>
              <w:numPr>
                <w:ilvl w:val="0"/>
                <w:numId w:val="13"/>
              </w:numPr>
              <w:spacing w:before="0"/>
              <w:ind w:left="576" w:hanging="288"/>
            </w:pPr>
            <w:r>
              <w:t xml:space="preserve">PDCCH monitoring skip (Sec. </w:t>
            </w:r>
            <w:r w:rsidR="000E0160">
              <w:fldChar w:fldCharType="begin"/>
            </w:r>
            <w:r w:rsidR="000E0160">
              <w:instrText xml:space="preserve"> REF _Ref53943987 \r \h </w:instrText>
            </w:r>
            <w:r w:rsidR="000E0160">
              <w:fldChar w:fldCharType="separate"/>
            </w:r>
            <w:r w:rsidR="00AD3BE1">
              <w:t>2.1.2</w:t>
            </w:r>
            <w:r w:rsidR="000E0160">
              <w:fldChar w:fldCharType="end"/>
            </w:r>
            <w:r w:rsidR="000E0160">
              <w:t>)</w:t>
            </w:r>
          </w:p>
          <w:p w14:paraId="23E56733" w14:textId="52CC6849" w:rsidR="007A3785" w:rsidRDefault="003A7C3B" w:rsidP="00C706AB">
            <w:pPr>
              <w:pStyle w:val="ListParagraph"/>
              <w:numPr>
                <w:ilvl w:val="1"/>
                <w:numId w:val="13"/>
              </w:numPr>
              <w:spacing w:before="0" w:after="60"/>
              <w:ind w:left="792"/>
            </w:pPr>
            <w:r>
              <w:t xml:space="preserve">A </w:t>
            </w:r>
            <w:r w:rsidR="002F2BCF">
              <w:t>3</w:t>
            </w:r>
            <w:r>
              <w:t xml:space="preserve">-bit field in DCI indicates </w:t>
            </w:r>
            <w:r w:rsidR="00166C89">
              <w:t xml:space="preserve">skipping </w:t>
            </w:r>
            <w:r w:rsidR="00C706AB">
              <w:t xml:space="preserve">of </w:t>
            </w:r>
            <w:r w:rsidR="00166C89">
              <w:t>the next up to 7 PDCCH occasions</w:t>
            </w:r>
          </w:p>
        </w:tc>
      </w:tr>
    </w:tbl>
    <w:p w14:paraId="2DE6CDCA" w14:textId="21C0B51A" w:rsidR="00872882" w:rsidRDefault="00094A1F" w:rsidP="0051594D">
      <w:pPr>
        <w:spacing w:before="120"/>
        <w:rPr>
          <w:lang w:val="en-GB"/>
        </w:rPr>
      </w:pPr>
      <w:r>
        <w:rPr>
          <w:lang w:val="en-GB"/>
        </w:rPr>
        <w:t xml:space="preserve">Note that </w:t>
      </w:r>
      <w:r w:rsidR="00A62024">
        <w:rPr>
          <w:lang w:val="en-GB"/>
        </w:rPr>
        <w:t>“</w:t>
      </w:r>
      <w:r w:rsidR="00AF1079">
        <w:rPr>
          <w:lang w:val="en-GB"/>
        </w:rPr>
        <w:t>Baseline-1</w:t>
      </w:r>
      <w:r w:rsidR="00A62024">
        <w:rPr>
          <w:lang w:val="en-GB"/>
        </w:rPr>
        <w:t>”</w:t>
      </w:r>
      <w:r w:rsidR="00AF1079">
        <w:rPr>
          <w:lang w:val="en-GB"/>
        </w:rPr>
        <w:t xml:space="preserve"> </w:t>
      </w:r>
      <w:r>
        <w:rPr>
          <w:lang w:val="en-GB"/>
        </w:rPr>
        <w:t xml:space="preserve">is added </w:t>
      </w:r>
      <w:r w:rsidR="00327540">
        <w:rPr>
          <w:lang w:val="en-GB"/>
        </w:rPr>
        <w:t xml:space="preserve">only </w:t>
      </w:r>
      <w:r>
        <w:rPr>
          <w:lang w:val="en-GB"/>
        </w:rPr>
        <w:t>for refe</w:t>
      </w:r>
      <w:r w:rsidR="00725BC5">
        <w:rPr>
          <w:lang w:val="en-GB"/>
        </w:rPr>
        <w:t xml:space="preserve">rence purpose, to </w:t>
      </w:r>
      <w:r w:rsidR="00AF1079">
        <w:rPr>
          <w:lang w:val="en-GB"/>
        </w:rPr>
        <w:t xml:space="preserve">represent the </w:t>
      </w:r>
      <w:r w:rsidR="00263EFA">
        <w:rPr>
          <w:lang w:val="en-GB"/>
        </w:rPr>
        <w:t xml:space="preserve">worst-case power consumption when none of </w:t>
      </w:r>
      <w:r w:rsidR="0057247A">
        <w:rPr>
          <w:lang w:val="en-GB"/>
        </w:rPr>
        <w:t xml:space="preserve">the Rel-15 or Rel-16 </w:t>
      </w:r>
      <w:r w:rsidR="00263EFA">
        <w:rPr>
          <w:lang w:val="en-GB"/>
        </w:rPr>
        <w:t>power saving schemes are applied</w:t>
      </w:r>
      <w:r w:rsidR="00725BC5">
        <w:rPr>
          <w:lang w:val="en-GB"/>
        </w:rPr>
        <w:t>.</w:t>
      </w:r>
      <w:r w:rsidR="00BC243F">
        <w:rPr>
          <w:lang w:val="en-GB"/>
        </w:rPr>
        <w:t xml:space="preserve"> </w:t>
      </w:r>
      <w:r w:rsidR="00444A7E">
        <w:rPr>
          <w:lang w:val="en-GB"/>
        </w:rPr>
        <w:t xml:space="preserve">Another baseline scheme, </w:t>
      </w:r>
      <w:r w:rsidR="00A62024">
        <w:rPr>
          <w:lang w:val="en-GB"/>
        </w:rPr>
        <w:t>“</w:t>
      </w:r>
      <w:r w:rsidR="00444A7E">
        <w:rPr>
          <w:lang w:val="en-GB"/>
        </w:rPr>
        <w:t>Baseline-2</w:t>
      </w:r>
      <w:r w:rsidR="00A62024">
        <w:rPr>
          <w:lang w:val="en-GB"/>
        </w:rPr>
        <w:t>”</w:t>
      </w:r>
      <w:r w:rsidR="00444A7E">
        <w:rPr>
          <w:lang w:val="en-GB"/>
        </w:rPr>
        <w:t xml:space="preserve">, which has DRX </w:t>
      </w:r>
      <w:r w:rsidR="00A37771">
        <w:rPr>
          <w:lang w:val="en-GB"/>
        </w:rPr>
        <w:t xml:space="preserve">configuration </w:t>
      </w:r>
      <w:r w:rsidR="003F094B">
        <w:rPr>
          <w:lang w:val="en-GB"/>
        </w:rPr>
        <w:t xml:space="preserve">with </w:t>
      </w:r>
      <w:r w:rsidR="00666DDB">
        <w:rPr>
          <w:lang w:val="en-GB"/>
        </w:rPr>
        <w:t xml:space="preserve">both </w:t>
      </w:r>
      <w:r w:rsidR="003F094B">
        <w:rPr>
          <w:lang w:val="en-GB"/>
        </w:rPr>
        <w:t xml:space="preserve">Long and Short cycles as </w:t>
      </w:r>
      <w:r w:rsidR="00393A2C">
        <w:rPr>
          <w:lang w:val="en-GB"/>
        </w:rPr>
        <w:t>described in Section</w:t>
      </w:r>
      <w:r w:rsidR="00666DDB">
        <w:rPr>
          <w:lang w:val="en-GB"/>
        </w:rPr>
        <w:t xml:space="preserve"> </w:t>
      </w:r>
      <w:r w:rsidR="00666DDB">
        <w:rPr>
          <w:lang w:val="en-GB"/>
        </w:rPr>
        <w:fldChar w:fldCharType="begin"/>
      </w:r>
      <w:r w:rsidR="00666DDB">
        <w:rPr>
          <w:lang w:val="en-GB"/>
        </w:rPr>
        <w:instrText xml:space="preserve"> REF _Ref54271325 \r \h </w:instrText>
      </w:r>
      <w:r w:rsidR="00666DDB">
        <w:rPr>
          <w:lang w:val="en-GB"/>
        </w:rPr>
      </w:r>
      <w:r w:rsidR="00666DDB">
        <w:rPr>
          <w:lang w:val="en-GB"/>
        </w:rPr>
        <w:fldChar w:fldCharType="separate"/>
      </w:r>
      <w:r w:rsidR="00AD3BE1">
        <w:rPr>
          <w:lang w:val="en-GB"/>
        </w:rPr>
        <w:t>2.2.1</w:t>
      </w:r>
      <w:r w:rsidR="00666DDB">
        <w:rPr>
          <w:lang w:val="en-GB"/>
        </w:rPr>
        <w:fldChar w:fldCharType="end"/>
      </w:r>
      <w:r w:rsidR="00666DDB">
        <w:rPr>
          <w:lang w:val="en-GB"/>
        </w:rPr>
        <w:t>,</w:t>
      </w:r>
      <w:r w:rsidR="00393A2C">
        <w:rPr>
          <w:lang w:val="en-GB"/>
        </w:rPr>
        <w:t xml:space="preserve"> is </w:t>
      </w:r>
      <w:r w:rsidR="00A23C57">
        <w:rPr>
          <w:lang w:val="en-GB"/>
        </w:rPr>
        <w:t>used to calculate the power consumption gains of</w:t>
      </w:r>
      <w:r w:rsidR="006E0B1B">
        <w:rPr>
          <w:lang w:val="en-GB"/>
        </w:rPr>
        <w:t xml:space="preserve"> the power saving schemes.</w:t>
      </w:r>
      <w:r w:rsidR="009E25CB">
        <w:rPr>
          <w:lang w:val="en-GB"/>
        </w:rPr>
        <w:t xml:space="preserve"> </w:t>
      </w:r>
      <w:r w:rsidR="00F12768">
        <w:rPr>
          <w:lang w:val="en-GB"/>
        </w:rPr>
        <w:t xml:space="preserve">For “PDCCH skip”, we assume that the last </w:t>
      </w:r>
      <w:r w:rsidR="00EA000E">
        <w:rPr>
          <w:lang w:val="en-GB"/>
        </w:rPr>
        <w:t xml:space="preserve">scheduling DCI of a DL burst can indicate </w:t>
      </w:r>
      <w:r w:rsidR="00F44D61">
        <w:rPr>
          <w:lang w:val="en-GB"/>
        </w:rPr>
        <w:t xml:space="preserve">skipping of up to 7 </w:t>
      </w:r>
      <w:r w:rsidR="00455A7C">
        <w:rPr>
          <w:lang w:val="en-GB"/>
        </w:rPr>
        <w:t>subsequent PDCCH occasions.</w:t>
      </w:r>
    </w:p>
    <w:p w14:paraId="3CA52708" w14:textId="6A353F4A" w:rsidR="00EA152D" w:rsidRDefault="00A60130" w:rsidP="00EA152D">
      <w:r>
        <w:rPr>
          <w:lang w:val="en-GB"/>
        </w:rPr>
        <w:t xml:space="preserve">In </w:t>
      </w:r>
      <w:r w:rsidR="00463B30">
        <w:rPr>
          <w:b/>
          <w:bCs/>
          <w:lang w:val="en-GB"/>
        </w:rPr>
        <w:fldChar w:fldCharType="begin"/>
      </w:r>
      <w:r w:rsidR="00463B30">
        <w:rPr>
          <w:lang w:val="en-GB"/>
        </w:rPr>
        <w:instrText xml:space="preserve"> REF _Ref54285501 \h </w:instrText>
      </w:r>
      <w:r w:rsidR="00463B30">
        <w:rPr>
          <w:b/>
          <w:bCs/>
          <w:lang w:val="en-GB"/>
        </w:rPr>
      </w:r>
      <w:r w:rsidR="00463B30">
        <w:rPr>
          <w:b/>
          <w:bCs/>
          <w:lang w:val="en-GB"/>
        </w:rPr>
        <w:fldChar w:fldCharType="separate"/>
      </w:r>
      <w:r w:rsidR="00AD3BE1">
        <w:t xml:space="preserve">Table </w:t>
      </w:r>
      <w:r w:rsidR="00AD3BE1">
        <w:rPr>
          <w:noProof/>
        </w:rPr>
        <w:t>1</w:t>
      </w:r>
      <w:r w:rsidR="00463B30">
        <w:rPr>
          <w:b/>
          <w:bCs/>
          <w:lang w:val="en-GB"/>
        </w:rPr>
        <w:fldChar w:fldCharType="end"/>
      </w:r>
      <w:r w:rsidR="00463B30">
        <w:rPr>
          <w:lang w:val="en-GB"/>
        </w:rPr>
        <w:t xml:space="preserve">, </w:t>
      </w:r>
      <w:r w:rsidR="00463B30">
        <w:rPr>
          <w:b/>
          <w:bCs/>
          <w:lang w:val="en-GB"/>
        </w:rPr>
        <w:fldChar w:fldCharType="begin"/>
      </w:r>
      <w:r w:rsidR="00463B30">
        <w:rPr>
          <w:lang w:val="en-GB"/>
        </w:rPr>
        <w:instrText xml:space="preserve"> REF _Ref54285503 \h </w:instrText>
      </w:r>
      <w:r w:rsidR="00463B30">
        <w:rPr>
          <w:b/>
          <w:bCs/>
          <w:lang w:val="en-GB"/>
        </w:rPr>
      </w:r>
      <w:r w:rsidR="00463B30">
        <w:rPr>
          <w:b/>
          <w:bCs/>
          <w:lang w:val="en-GB"/>
        </w:rPr>
        <w:fldChar w:fldCharType="separate"/>
      </w:r>
      <w:r w:rsidR="00AD3BE1" w:rsidRPr="00A60130">
        <w:t xml:space="preserve">Table </w:t>
      </w:r>
      <w:r w:rsidR="00AD3BE1">
        <w:rPr>
          <w:noProof/>
        </w:rPr>
        <w:t>2</w:t>
      </w:r>
      <w:r w:rsidR="00463B30">
        <w:rPr>
          <w:b/>
          <w:bCs/>
          <w:lang w:val="en-GB"/>
        </w:rPr>
        <w:fldChar w:fldCharType="end"/>
      </w:r>
      <w:r w:rsidR="00463B30">
        <w:rPr>
          <w:lang w:val="en-GB"/>
        </w:rPr>
        <w:t xml:space="preserve">, and </w:t>
      </w:r>
      <w:r w:rsidR="00463B30">
        <w:rPr>
          <w:b/>
          <w:bCs/>
          <w:lang w:val="en-GB"/>
        </w:rPr>
        <w:fldChar w:fldCharType="begin"/>
      </w:r>
      <w:r w:rsidR="00463B30">
        <w:rPr>
          <w:lang w:val="en-GB"/>
        </w:rPr>
        <w:instrText xml:space="preserve"> REF _Ref54285506 \h </w:instrText>
      </w:r>
      <w:r w:rsidR="00463B30">
        <w:rPr>
          <w:b/>
          <w:bCs/>
          <w:lang w:val="en-GB"/>
        </w:rPr>
      </w:r>
      <w:r w:rsidR="00463B30">
        <w:rPr>
          <w:b/>
          <w:bCs/>
          <w:lang w:val="en-GB"/>
        </w:rPr>
        <w:fldChar w:fldCharType="separate"/>
      </w:r>
      <w:r w:rsidR="00AD3BE1">
        <w:t xml:space="preserve">Table </w:t>
      </w:r>
      <w:r w:rsidR="00AD3BE1">
        <w:rPr>
          <w:noProof/>
        </w:rPr>
        <w:t>3</w:t>
      </w:r>
      <w:r w:rsidR="00463B30">
        <w:rPr>
          <w:b/>
          <w:bCs/>
          <w:lang w:val="en-GB"/>
        </w:rPr>
        <w:fldChar w:fldCharType="end"/>
      </w:r>
      <w:r w:rsidR="004F024C">
        <w:rPr>
          <w:lang w:val="en-GB"/>
        </w:rPr>
        <w:t>, the average, median, and 5</w:t>
      </w:r>
      <w:r w:rsidR="004F024C" w:rsidRPr="004F024C">
        <w:rPr>
          <w:vertAlign w:val="superscript"/>
          <w:lang w:val="en-GB"/>
        </w:rPr>
        <w:t>th</w:t>
      </w:r>
      <w:r w:rsidR="004F024C">
        <w:rPr>
          <w:lang w:val="en-GB"/>
        </w:rPr>
        <w:t xml:space="preserve"> percentile power consumption of different scenarios are compared. Also, in the same tables, the percentage power saving gains relative to Baseline-2</w:t>
      </w:r>
      <w:r w:rsidR="000C4851">
        <w:rPr>
          <w:lang w:val="en-GB"/>
        </w:rPr>
        <w:t xml:space="preserve"> are also included as numbers in parentheses.</w:t>
      </w:r>
    </w:p>
    <w:p w14:paraId="1FC8A337" w14:textId="47012733" w:rsidR="00592A5A" w:rsidRPr="00313428" w:rsidRDefault="00A60130" w:rsidP="00A60130">
      <w:pPr>
        <w:pStyle w:val="Caption"/>
        <w:jc w:val="center"/>
      </w:pPr>
      <w:bookmarkStart w:id="9" w:name="_Ref54285501"/>
      <w:r>
        <w:t xml:space="preserve">Table </w:t>
      </w:r>
      <w:fldSimple w:instr=" SEQ Table \* ARABIC ">
        <w:r w:rsidR="00AD3BE1">
          <w:rPr>
            <w:noProof/>
          </w:rPr>
          <w:t>1</w:t>
        </w:r>
      </w:fldSimple>
      <w:bookmarkEnd w:id="9"/>
      <w:r w:rsidR="00592A5A" w:rsidRPr="00B529D8">
        <w:t>: Average power consumption</w:t>
      </w:r>
      <w:r w:rsidR="00592A5A">
        <w:t xml:space="preserve"> (relative gain over </w:t>
      </w:r>
      <w:r w:rsidR="008958AF">
        <w:t>B</w:t>
      </w:r>
      <w:r w:rsidR="00592A5A">
        <w:t>aseline-2 in parentheses)</w:t>
      </w:r>
    </w:p>
    <w:tbl>
      <w:tblPr>
        <w:tblStyle w:val="TableGrid"/>
        <w:tblW w:w="10345" w:type="dxa"/>
        <w:jc w:val="center"/>
        <w:tblLayout w:type="fixed"/>
        <w:tblLook w:val="04A0" w:firstRow="1" w:lastRow="0" w:firstColumn="1" w:lastColumn="0" w:noHBand="0" w:noVBand="1"/>
      </w:tblPr>
      <w:tblGrid>
        <w:gridCol w:w="625"/>
        <w:gridCol w:w="630"/>
        <w:gridCol w:w="1170"/>
        <w:gridCol w:w="1170"/>
        <w:gridCol w:w="1687"/>
        <w:gridCol w:w="1688"/>
        <w:gridCol w:w="1687"/>
        <w:gridCol w:w="1688"/>
      </w:tblGrid>
      <w:tr w:rsidR="000B74A8" w:rsidRPr="00FC08FC" w14:paraId="3EC384D5" w14:textId="403A67D7" w:rsidTr="000B74A8">
        <w:trPr>
          <w:jc w:val="center"/>
        </w:trPr>
        <w:tc>
          <w:tcPr>
            <w:tcW w:w="1255" w:type="dxa"/>
            <w:gridSpan w:val="2"/>
            <w:tcBorders>
              <w:bottom w:val="double" w:sz="4" w:space="0" w:color="auto"/>
              <w:right w:val="double" w:sz="4" w:space="0" w:color="auto"/>
            </w:tcBorders>
            <w:shd w:val="clear" w:color="auto" w:fill="E7E6E6" w:themeFill="background2"/>
            <w:vAlign w:val="center"/>
          </w:tcPr>
          <w:p w14:paraId="6F2A3A96" w14:textId="77777777" w:rsidR="00FF06C5" w:rsidRPr="00F6763C" w:rsidRDefault="00FF06C5" w:rsidP="002D2DD4">
            <w:pPr>
              <w:spacing w:before="0" w:after="60"/>
              <w:jc w:val="center"/>
              <w:rPr>
                <w:b/>
              </w:rPr>
            </w:pPr>
            <w:r w:rsidRPr="00F6763C">
              <w:rPr>
                <w:b/>
              </w:rPr>
              <w:t>PDCCH periodicity</w:t>
            </w:r>
          </w:p>
        </w:tc>
        <w:tc>
          <w:tcPr>
            <w:tcW w:w="1170" w:type="dxa"/>
            <w:tcBorders>
              <w:left w:val="double" w:sz="4" w:space="0" w:color="auto"/>
              <w:bottom w:val="double" w:sz="4" w:space="0" w:color="auto"/>
            </w:tcBorders>
            <w:shd w:val="clear" w:color="auto" w:fill="E7E6E6" w:themeFill="background2"/>
            <w:vAlign w:val="center"/>
          </w:tcPr>
          <w:p w14:paraId="421682E1" w14:textId="77777777" w:rsidR="00FF06C5" w:rsidRPr="00F6763C" w:rsidRDefault="00FF06C5" w:rsidP="002D2DD4">
            <w:pPr>
              <w:spacing w:before="0" w:after="60"/>
              <w:jc w:val="center"/>
              <w:rPr>
                <w:b/>
              </w:rPr>
            </w:pPr>
            <w:r w:rsidRPr="00F6763C">
              <w:rPr>
                <w:b/>
              </w:rPr>
              <w:t>Baseline</w:t>
            </w:r>
            <w:r>
              <w:rPr>
                <w:b/>
              </w:rPr>
              <w:t>-1</w:t>
            </w:r>
          </w:p>
        </w:tc>
        <w:tc>
          <w:tcPr>
            <w:tcW w:w="1170" w:type="dxa"/>
            <w:tcBorders>
              <w:bottom w:val="double" w:sz="4" w:space="0" w:color="auto"/>
            </w:tcBorders>
            <w:shd w:val="clear" w:color="auto" w:fill="E7E6E6" w:themeFill="background2"/>
            <w:vAlign w:val="center"/>
          </w:tcPr>
          <w:p w14:paraId="74A7CB46" w14:textId="77777777" w:rsidR="00FF06C5" w:rsidRPr="00F6763C" w:rsidRDefault="00FF06C5" w:rsidP="002D2DD4">
            <w:pPr>
              <w:spacing w:before="0" w:after="60"/>
              <w:jc w:val="center"/>
              <w:rPr>
                <w:b/>
              </w:rPr>
            </w:pPr>
            <w:r>
              <w:rPr>
                <w:b/>
              </w:rPr>
              <w:t>Baseline-2</w:t>
            </w:r>
          </w:p>
        </w:tc>
        <w:tc>
          <w:tcPr>
            <w:tcW w:w="1687" w:type="dxa"/>
            <w:tcBorders>
              <w:bottom w:val="double" w:sz="4" w:space="0" w:color="auto"/>
            </w:tcBorders>
            <w:shd w:val="clear" w:color="auto" w:fill="E7E6E6" w:themeFill="background2"/>
            <w:vAlign w:val="center"/>
          </w:tcPr>
          <w:p w14:paraId="642E3EF4" w14:textId="4EA18FD4" w:rsidR="00FF06C5" w:rsidRPr="00F6763C" w:rsidRDefault="00FF06C5" w:rsidP="002D2DD4">
            <w:pPr>
              <w:spacing w:before="0" w:after="60"/>
              <w:jc w:val="center"/>
              <w:rPr>
                <w:b/>
              </w:rPr>
            </w:pPr>
            <w:r w:rsidRPr="00F6763C">
              <w:rPr>
                <w:b/>
              </w:rPr>
              <w:t>WUS</w:t>
            </w:r>
            <w:r w:rsidR="00C11F37">
              <w:rPr>
                <w:b/>
              </w:rPr>
              <w:t>-Long</w:t>
            </w:r>
          </w:p>
        </w:tc>
        <w:tc>
          <w:tcPr>
            <w:tcW w:w="1688" w:type="dxa"/>
            <w:tcBorders>
              <w:bottom w:val="double" w:sz="4" w:space="0" w:color="auto"/>
            </w:tcBorders>
            <w:shd w:val="clear" w:color="auto" w:fill="E7E6E6" w:themeFill="background2"/>
            <w:vAlign w:val="center"/>
          </w:tcPr>
          <w:p w14:paraId="5D3200AA" w14:textId="7E6E1539" w:rsidR="00FF06C5" w:rsidRPr="00F6763C" w:rsidRDefault="00FF06C5" w:rsidP="002D2DD4">
            <w:pPr>
              <w:spacing w:before="0" w:after="60"/>
              <w:jc w:val="center"/>
              <w:rPr>
                <w:b/>
              </w:rPr>
            </w:pPr>
            <w:r>
              <w:rPr>
                <w:b/>
              </w:rPr>
              <w:t>Cross-slot scheduling</w:t>
            </w:r>
          </w:p>
        </w:tc>
        <w:tc>
          <w:tcPr>
            <w:tcW w:w="1687" w:type="dxa"/>
            <w:tcBorders>
              <w:bottom w:val="double" w:sz="4" w:space="0" w:color="auto"/>
            </w:tcBorders>
            <w:shd w:val="clear" w:color="auto" w:fill="E7E6E6" w:themeFill="background2"/>
            <w:vAlign w:val="center"/>
          </w:tcPr>
          <w:p w14:paraId="6250546B" w14:textId="5771A098" w:rsidR="00FF06C5" w:rsidRPr="00F6763C" w:rsidRDefault="00FF06C5" w:rsidP="002D2DD4">
            <w:pPr>
              <w:spacing w:before="0" w:after="60"/>
              <w:jc w:val="center"/>
              <w:rPr>
                <w:b/>
              </w:rPr>
            </w:pPr>
            <w:r w:rsidRPr="00F6763C">
              <w:rPr>
                <w:b/>
              </w:rPr>
              <w:t>PDCCH skip</w:t>
            </w:r>
          </w:p>
        </w:tc>
        <w:tc>
          <w:tcPr>
            <w:tcW w:w="1688" w:type="dxa"/>
            <w:tcBorders>
              <w:bottom w:val="double" w:sz="4" w:space="0" w:color="auto"/>
            </w:tcBorders>
            <w:shd w:val="clear" w:color="auto" w:fill="E7E6E6" w:themeFill="background2"/>
          </w:tcPr>
          <w:p w14:paraId="1BAE7F58" w14:textId="42A9C1CD" w:rsidR="00FF06C5" w:rsidRDefault="00C11F37" w:rsidP="002D2DD4">
            <w:pPr>
              <w:spacing w:after="60"/>
              <w:jc w:val="center"/>
              <w:rPr>
                <w:b/>
              </w:rPr>
            </w:pPr>
            <w:r>
              <w:rPr>
                <w:b/>
              </w:rPr>
              <w:t>WUS-Short</w:t>
            </w:r>
          </w:p>
        </w:tc>
      </w:tr>
      <w:tr w:rsidR="000B74A8" w:rsidRPr="00FC08FC" w14:paraId="0F250A86" w14:textId="6F32C2D0" w:rsidTr="000B74A8">
        <w:trPr>
          <w:jc w:val="center"/>
        </w:trPr>
        <w:tc>
          <w:tcPr>
            <w:tcW w:w="625" w:type="dxa"/>
            <w:vMerge w:val="restart"/>
            <w:tcBorders>
              <w:top w:val="double" w:sz="4" w:space="0" w:color="auto"/>
            </w:tcBorders>
            <w:shd w:val="clear" w:color="auto" w:fill="F2F2F2" w:themeFill="background1" w:themeFillShade="F2"/>
            <w:vAlign w:val="center"/>
          </w:tcPr>
          <w:p w14:paraId="6DCBB1CC" w14:textId="77777777" w:rsidR="00D5322A" w:rsidRPr="00F6763C" w:rsidRDefault="00D5322A" w:rsidP="00D5322A">
            <w:pPr>
              <w:spacing w:before="0" w:after="60"/>
              <w:jc w:val="center"/>
            </w:pPr>
            <w:r w:rsidRPr="00F6763C">
              <w:t>FR1</w:t>
            </w:r>
          </w:p>
        </w:tc>
        <w:tc>
          <w:tcPr>
            <w:tcW w:w="630" w:type="dxa"/>
            <w:tcBorders>
              <w:top w:val="double" w:sz="4" w:space="0" w:color="auto"/>
              <w:right w:val="double" w:sz="4" w:space="0" w:color="auto"/>
            </w:tcBorders>
            <w:shd w:val="clear" w:color="auto" w:fill="F2F2F2" w:themeFill="background1" w:themeFillShade="F2"/>
            <w:vAlign w:val="center"/>
          </w:tcPr>
          <w:p w14:paraId="3A70D7D2" w14:textId="77777777" w:rsidR="00D5322A" w:rsidRPr="00F6763C" w:rsidRDefault="00D5322A" w:rsidP="00D5322A">
            <w:pPr>
              <w:spacing w:before="0" w:after="60"/>
              <w:jc w:val="center"/>
            </w:pPr>
            <w:r w:rsidRPr="00F6763C">
              <w:t>1</w:t>
            </w:r>
          </w:p>
        </w:tc>
        <w:tc>
          <w:tcPr>
            <w:tcW w:w="1170" w:type="dxa"/>
            <w:tcBorders>
              <w:top w:val="double" w:sz="4" w:space="0" w:color="auto"/>
              <w:left w:val="double" w:sz="4" w:space="0" w:color="auto"/>
            </w:tcBorders>
            <w:vAlign w:val="center"/>
          </w:tcPr>
          <w:p w14:paraId="16145EBF" w14:textId="77777777" w:rsidR="00D5322A" w:rsidRPr="000B74A8" w:rsidRDefault="00D5322A" w:rsidP="000B74A8">
            <w:pPr>
              <w:spacing w:before="0" w:after="60"/>
              <w:jc w:val="center"/>
            </w:pPr>
            <w:r w:rsidRPr="000B74A8">
              <w:t>110.37</w:t>
            </w:r>
          </w:p>
        </w:tc>
        <w:tc>
          <w:tcPr>
            <w:tcW w:w="1170" w:type="dxa"/>
            <w:tcBorders>
              <w:top w:val="double" w:sz="4" w:space="0" w:color="auto"/>
            </w:tcBorders>
            <w:vAlign w:val="center"/>
          </w:tcPr>
          <w:p w14:paraId="2683757E" w14:textId="5A52B41D" w:rsidR="00D5322A" w:rsidRPr="000B74A8" w:rsidRDefault="00D5322A" w:rsidP="000B74A8">
            <w:pPr>
              <w:spacing w:before="0" w:after="60"/>
              <w:jc w:val="center"/>
            </w:pPr>
            <w:r w:rsidRPr="000B74A8">
              <w:rPr>
                <w:color w:val="000000"/>
              </w:rPr>
              <w:t>27.05</w:t>
            </w:r>
          </w:p>
        </w:tc>
        <w:tc>
          <w:tcPr>
            <w:tcW w:w="1687" w:type="dxa"/>
            <w:tcBorders>
              <w:top w:val="double" w:sz="4" w:space="0" w:color="auto"/>
            </w:tcBorders>
            <w:vAlign w:val="center"/>
          </w:tcPr>
          <w:p w14:paraId="1C3F2DC7" w14:textId="31FAEEC1" w:rsidR="00D5322A" w:rsidRPr="000B74A8" w:rsidRDefault="00D5322A" w:rsidP="000B74A8">
            <w:pPr>
              <w:spacing w:before="0" w:after="60"/>
              <w:jc w:val="center"/>
            </w:pPr>
            <w:r w:rsidRPr="000B74A8">
              <w:rPr>
                <w:color w:val="000000"/>
              </w:rPr>
              <w:t>25.07</w:t>
            </w:r>
            <w:r w:rsidR="009F36AC" w:rsidRPr="000B74A8">
              <w:rPr>
                <w:color w:val="000000"/>
              </w:rPr>
              <w:t xml:space="preserve"> </w:t>
            </w:r>
            <w:r w:rsidR="00DE7128" w:rsidRPr="000B74A8">
              <w:rPr>
                <w:color w:val="000000"/>
              </w:rPr>
              <w:t>(7.31 %)</w:t>
            </w:r>
          </w:p>
        </w:tc>
        <w:tc>
          <w:tcPr>
            <w:tcW w:w="1688" w:type="dxa"/>
            <w:tcBorders>
              <w:top w:val="double" w:sz="4" w:space="0" w:color="auto"/>
            </w:tcBorders>
            <w:vAlign w:val="center"/>
          </w:tcPr>
          <w:p w14:paraId="3ECBFE50" w14:textId="5CA0120C" w:rsidR="00D5322A" w:rsidRPr="000B74A8" w:rsidRDefault="00D5322A" w:rsidP="000B74A8">
            <w:pPr>
              <w:spacing w:before="0" w:after="60"/>
              <w:jc w:val="center"/>
            </w:pPr>
            <w:r w:rsidRPr="000B74A8">
              <w:rPr>
                <w:color w:val="000000"/>
              </w:rPr>
              <w:t>24.30</w:t>
            </w:r>
            <w:r w:rsidR="00985A0F" w:rsidRPr="000B74A8">
              <w:rPr>
                <w:color w:val="000000"/>
              </w:rPr>
              <w:t xml:space="preserve"> (10.16 %)</w:t>
            </w:r>
          </w:p>
        </w:tc>
        <w:tc>
          <w:tcPr>
            <w:tcW w:w="1687" w:type="dxa"/>
            <w:tcBorders>
              <w:top w:val="double" w:sz="4" w:space="0" w:color="auto"/>
              <w:bottom w:val="single" w:sz="4" w:space="0" w:color="auto"/>
            </w:tcBorders>
            <w:vAlign w:val="center"/>
          </w:tcPr>
          <w:p w14:paraId="32E826CB" w14:textId="09B7D0D9" w:rsidR="00D5322A" w:rsidRPr="000B74A8" w:rsidRDefault="00D5322A" w:rsidP="000B74A8">
            <w:pPr>
              <w:spacing w:before="0" w:after="60"/>
              <w:jc w:val="center"/>
            </w:pPr>
            <w:r w:rsidRPr="000B74A8">
              <w:rPr>
                <w:color w:val="000000"/>
              </w:rPr>
              <w:t>23.66</w:t>
            </w:r>
            <w:r w:rsidR="003F52C2" w:rsidRPr="000B74A8">
              <w:rPr>
                <w:color w:val="000000"/>
              </w:rPr>
              <w:t xml:space="preserve"> (12.53 %)</w:t>
            </w:r>
          </w:p>
        </w:tc>
        <w:tc>
          <w:tcPr>
            <w:tcW w:w="1688" w:type="dxa"/>
            <w:tcBorders>
              <w:top w:val="double" w:sz="4" w:space="0" w:color="auto"/>
              <w:bottom w:val="single" w:sz="4" w:space="0" w:color="auto"/>
            </w:tcBorders>
            <w:vAlign w:val="center"/>
          </w:tcPr>
          <w:p w14:paraId="09689A14" w14:textId="66525614" w:rsidR="00D5322A" w:rsidRPr="000B74A8" w:rsidRDefault="00D5322A" w:rsidP="000B74A8">
            <w:pPr>
              <w:spacing w:before="0" w:after="60"/>
              <w:jc w:val="center"/>
            </w:pPr>
            <w:r w:rsidRPr="000B74A8">
              <w:rPr>
                <w:color w:val="000000"/>
              </w:rPr>
              <w:t>23.22</w:t>
            </w:r>
            <w:r w:rsidR="003F52C2" w:rsidRPr="000B74A8">
              <w:rPr>
                <w:color w:val="000000"/>
              </w:rPr>
              <w:t xml:space="preserve"> (14.18 %)</w:t>
            </w:r>
          </w:p>
        </w:tc>
      </w:tr>
      <w:tr w:rsidR="000B74A8" w:rsidRPr="00FC08FC" w14:paraId="32200839" w14:textId="030B22B1" w:rsidTr="000B74A8">
        <w:trPr>
          <w:jc w:val="center"/>
        </w:trPr>
        <w:tc>
          <w:tcPr>
            <w:tcW w:w="625" w:type="dxa"/>
            <w:vMerge/>
            <w:shd w:val="clear" w:color="auto" w:fill="F2F2F2" w:themeFill="background1" w:themeFillShade="F2"/>
            <w:vAlign w:val="center"/>
          </w:tcPr>
          <w:p w14:paraId="1B1162D1" w14:textId="77777777" w:rsidR="00D5322A" w:rsidRPr="00F6763C" w:rsidRDefault="00D5322A" w:rsidP="00D5322A">
            <w:pPr>
              <w:spacing w:before="0" w:after="60"/>
              <w:jc w:val="center"/>
            </w:pPr>
          </w:p>
        </w:tc>
        <w:tc>
          <w:tcPr>
            <w:tcW w:w="630" w:type="dxa"/>
            <w:tcBorders>
              <w:right w:val="double" w:sz="4" w:space="0" w:color="auto"/>
            </w:tcBorders>
            <w:shd w:val="clear" w:color="auto" w:fill="F2F2F2" w:themeFill="background1" w:themeFillShade="F2"/>
            <w:vAlign w:val="center"/>
          </w:tcPr>
          <w:p w14:paraId="05089EE2" w14:textId="77777777" w:rsidR="00D5322A" w:rsidRPr="00F6763C" w:rsidRDefault="00D5322A" w:rsidP="00D5322A">
            <w:pPr>
              <w:spacing w:before="0" w:after="60"/>
              <w:jc w:val="center"/>
            </w:pPr>
            <w:r w:rsidRPr="00F6763C">
              <w:t>2</w:t>
            </w:r>
          </w:p>
        </w:tc>
        <w:tc>
          <w:tcPr>
            <w:tcW w:w="1170" w:type="dxa"/>
            <w:tcBorders>
              <w:left w:val="double" w:sz="4" w:space="0" w:color="auto"/>
            </w:tcBorders>
            <w:vAlign w:val="center"/>
          </w:tcPr>
          <w:p w14:paraId="36C3E4FF" w14:textId="77777777" w:rsidR="00D5322A" w:rsidRPr="000B74A8" w:rsidRDefault="00D5322A" w:rsidP="000B74A8">
            <w:pPr>
              <w:spacing w:before="0" w:after="60"/>
              <w:jc w:val="center"/>
            </w:pPr>
            <w:r w:rsidRPr="000B74A8">
              <w:t>84.29</w:t>
            </w:r>
          </w:p>
        </w:tc>
        <w:tc>
          <w:tcPr>
            <w:tcW w:w="1170" w:type="dxa"/>
            <w:vAlign w:val="center"/>
          </w:tcPr>
          <w:p w14:paraId="1434DA83" w14:textId="31D4909B" w:rsidR="00D5322A" w:rsidRPr="000B74A8" w:rsidRDefault="00D5322A" w:rsidP="000B74A8">
            <w:pPr>
              <w:spacing w:before="0" w:after="60"/>
              <w:jc w:val="center"/>
            </w:pPr>
            <w:r w:rsidRPr="000B74A8">
              <w:rPr>
                <w:color w:val="000000"/>
              </w:rPr>
              <w:t>25.12</w:t>
            </w:r>
          </w:p>
        </w:tc>
        <w:tc>
          <w:tcPr>
            <w:tcW w:w="1687" w:type="dxa"/>
            <w:vAlign w:val="center"/>
          </w:tcPr>
          <w:p w14:paraId="4AAF9F31" w14:textId="383F689A" w:rsidR="00D5322A" w:rsidRPr="000B74A8" w:rsidRDefault="00D5322A" w:rsidP="000B74A8">
            <w:pPr>
              <w:spacing w:before="0" w:after="60"/>
              <w:jc w:val="center"/>
            </w:pPr>
            <w:r w:rsidRPr="000B74A8">
              <w:rPr>
                <w:color w:val="000000"/>
              </w:rPr>
              <w:t>23.68</w:t>
            </w:r>
            <w:r w:rsidR="00860E7F" w:rsidRPr="000B74A8">
              <w:rPr>
                <w:color w:val="000000"/>
              </w:rPr>
              <w:t xml:space="preserve"> </w:t>
            </w:r>
            <w:r w:rsidR="00DE7128" w:rsidRPr="000B74A8">
              <w:rPr>
                <w:color w:val="000000"/>
              </w:rPr>
              <w:t>(5.75 %)</w:t>
            </w:r>
          </w:p>
        </w:tc>
        <w:tc>
          <w:tcPr>
            <w:tcW w:w="1688" w:type="dxa"/>
            <w:vAlign w:val="center"/>
          </w:tcPr>
          <w:p w14:paraId="4E7AFF34" w14:textId="5DC95DB0" w:rsidR="00D5322A" w:rsidRPr="000B74A8" w:rsidRDefault="00D5322A" w:rsidP="000B74A8">
            <w:pPr>
              <w:spacing w:before="0" w:after="60"/>
              <w:jc w:val="center"/>
            </w:pPr>
            <w:r w:rsidRPr="000B74A8">
              <w:rPr>
                <w:color w:val="000000"/>
              </w:rPr>
              <w:t>23.32</w:t>
            </w:r>
            <w:r w:rsidR="00985A0F" w:rsidRPr="000B74A8">
              <w:rPr>
                <w:color w:val="000000"/>
              </w:rPr>
              <w:t xml:space="preserve"> (7.16 %)</w:t>
            </w:r>
          </w:p>
        </w:tc>
        <w:tc>
          <w:tcPr>
            <w:tcW w:w="1687" w:type="dxa"/>
            <w:tcBorders>
              <w:top w:val="single" w:sz="4" w:space="0" w:color="auto"/>
              <w:bottom w:val="single" w:sz="4" w:space="0" w:color="auto"/>
            </w:tcBorders>
            <w:vAlign w:val="center"/>
          </w:tcPr>
          <w:p w14:paraId="5F9D5703" w14:textId="734B4D6F" w:rsidR="00D5322A" w:rsidRPr="000B74A8" w:rsidRDefault="00D5322A" w:rsidP="000B74A8">
            <w:pPr>
              <w:spacing w:before="0" w:after="60"/>
              <w:jc w:val="center"/>
            </w:pPr>
            <w:r w:rsidRPr="000B74A8">
              <w:rPr>
                <w:color w:val="000000"/>
              </w:rPr>
              <w:t>23.03</w:t>
            </w:r>
            <w:r w:rsidR="003F52C2" w:rsidRPr="000B74A8">
              <w:rPr>
                <w:color w:val="000000"/>
              </w:rPr>
              <w:t xml:space="preserve"> (8.35 %)</w:t>
            </w:r>
          </w:p>
        </w:tc>
        <w:tc>
          <w:tcPr>
            <w:tcW w:w="1688" w:type="dxa"/>
            <w:tcBorders>
              <w:top w:val="single" w:sz="4" w:space="0" w:color="auto"/>
              <w:bottom w:val="single" w:sz="4" w:space="0" w:color="auto"/>
            </w:tcBorders>
            <w:vAlign w:val="center"/>
          </w:tcPr>
          <w:p w14:paraId="5D3E925A" w14:textId="79EA8F8A" w:rsidR="00D5322A" w:rsidRPr="000B74A8" w:rsidRDefault="00D5322A" w:rsidP="000B74A8">
            <w:pPr>
              <w:spacing w:before="0" w:after="60"/>
              <w:jc w:val="center"/>
            </w:pPr>
            <w:r w:rsidRPr="000B74A8">
              <w:rPr>
                <w:color w:val="000000"/>
              </w:rPr>
              <w:t>22.32</w:t>
            </w:r>
            <w:r w:rsidR="003F52C2" w:rsidRPr="000B74A8">
              <w:rPr>
                <w:color w:val="000000"/>
              </w:rPr>
              <w:t xml:space="preserve"> (11.17 %)</w:t>
            </w:r>
          </w:p>
        </w:tc>
      </w:tr>
      <w:tr w:rsidR="000B74A8" w:rsidRPr="00FC08FC" w14:paraId="57F153F8" w14:textId="71A71AEE" w:rsidTr="000B74A8">
        <w:trPr>
          <w:jc w:val="center"/>
        </w:trPr>
        <w:tc>
          <w:tcPr>
            <w:tcW w:w="625" w:type="dxa"/>
            <w:vMerge w:val="restart"/>
            <w:tcBorders>
              <w:top w:val="double" w:sz="4" w:space="0" w:color="auto"/>
            </w:tcBorders>
            <w:shd w:val="clear" w:color="auto" w:fill="F2F2F2" w:themeFill="background1" w:themeFillShade="F2"/>
            <w:vAlign w:val="center"/>
          </w:tcPr>
          <w:p w14:paraId="11E84F65" w14:textId="77777777" w:rsidR="00D5322A" w:rsidRPr="00F6763C" w:rsidRDefault="00D5322A" w:rsidP="00D5322A">
            <w:pPr>
              <w:spacing w:before="0" w:after="60"/>
              <w:jc w:val="center"/>
            </w:pPr>
            <w:r w:rsidRPr="00F6763C">
              <w:t>FR2</w:t>
            </w:r>
          </w:p>
        </w:tc>
        <w:tc>
          <w:tcPr>
            <w:tcW w:w="630" w:type="dxa"/>
            <w:tcBorders>
              <w:top w:val="double" w:sz="4" w:space="0" w:color="auto"/>
              <w:right w:val="double" w:sz="4" w:space="0" w:color="auto"/>
            </w:tcBorders>
            <w:shd w:val="clear" w:color="auto" w:fill="F2F2F2" w:themeFill="background1" w:themeFillShade="F2"/>
            <w:vAlign w:val="center"/>
          </w:tcPr>
          <w:p w14:paraId="183AA39F" w14:textId="77777777" w:rsidR="00D5322A" w:rsidRPr="00F6763C" w:rsidRDefault="00D5322A" w:rsidP="00D5322A">
            <w:pPr>
              <w:spacing w:before="0" w:after="60"/>
              <w:jc w:val="center"/>
            </w:pPr>
            <w:r w:rsidRPr="00F6763C">
              <w:t>1</w:t>
            </w:r>
          </w:p>
        </w:tc>
        <w:tc>
          <w:tcPr>
            <w:tcW w:w="1170" w:type="dxa"/>
            <w:tcBorders>
              <w:top w:val="double" w:sz="4" w:space="0" w:color="auto"/>
              <w:left w:val="double" w:sz="4" w:space="0" w:color="auto"/>
            </w:tcBorders>
            <w:vAlign w:val="center"/>
          </w:tcPr>
          <w:p w14:paraId="1CA3BAA5" w14:textId="77777777" w:rsidR="00D5322A" w:rsidRPr="000B74A8" w:rsidRDefault="00D5322A" w:rsidP="000B74A8">
            <w:pPr>
              <w:spacing w:before="0" w:after="60"/>
              <w:jc w:val="center"/>
              <w:rPr>
                <w:color w:val="000000" w:themeColor="text1"/>
              </w:rPr>
            </w:pPr>
            <w:r w:rsidRPr="000B74A8">
              <w:t>184.07</w:t>
            </w:r>
          </w:p>
        </w:tc>
        <w:tc>
          <w:tcPr>
            <w:tcW w:w="1170" w:type="dxa"/>
            <w:tcBorders>
              <w:top w:val="double" w:sz="4" w:space="0" w:color="auto"/>
            </w:tcBorders>
            <w:vAlign w:val="center"/>
          </w:tcPr>
          <w:p w14:paraId="503C020A" w14:textId="42BC5C81" w:rsidR="00D5322A" w:rsidRPr="000B74A8" w:rsidRDefault="00D5322A" w:rsidP="000B74A8">
            <w:pPr>
              <w:spacing w:before="0" w:after="60"/>
              <w:jc w:val="center"/>
            </w:pPr>
            <w:r w:rsidRPr="000B74A8">
              <w:rPr>
                <w:color w:val="000000"/>
              </w:rPr>
              <w:t>37.56</w:t>
            </w:r>
          </w:p>
        </w:tc>
        <w:tc>
          <w:tcPr>
            <w:tcW w:w="1687" w:type="dxa"/>
            <w:tcBorders>
              <w:top w:val="double" w:sz="4" w:space="0" w:color="auto"/>
            </w:tcBorders>
            <w:vAlign w:val="center"/>
          </w:tcPr>
          <w:p w14:paraId="29271905" w14:textId="5C03DD1B" w:rsidR="00D5322A" w:rsidRPr="000B74A8" w:rsidRDefault="00D5322A" w:rsidP="000B74A8">
            <w:pPr>
              <w:spacing w:before="0" w:after="60"/>
              <w:jc w:val="center"/>
              <w:rPr>
                <w:color w:val="000000" w:themeColor="text1"/>
              </w:rPr>
            </w:pPr>
            <w:r w:rsidRPr="000B74A8">
              <w:rPr>
                <w:color w:val="000000"/>
              </w:rPr>
              <w:t>35.91</w:t>
            </w:r>
            <w:r w:rsidR="00860E7F" w:rsidRPr="000B74A8">
              <w:rPr>
                <w:color w:val="000000"/>
              </w:rPr>
              <w:t xml:space="preserve"> </w:t>
            </w:r>
            <w:r w:rsidR="00DE7128" w:rsidRPr="000B74A8">
              <w:rPr>
                <w:color w:val="000000"/>
              </w:rPr>
              <w:t>(4.39 %)</w:t>
            </w:r>
          </w:p>
        </w:tc>
        <w:tc>
          <w:tcPr>
            <w:tcW w:w="1688" w:type="dxa"/>
            <w:tcBorders>
              <w:top w:val="double" w:sz="4" w:space="0" w:color="auto"/>
            </w:tcBorders>
            <w:vAlign w:val="center"/>
          </w:tcPr>
          <w:p w14:paraId="5BF7910F" w14:textId="06EB017A" w:rsidR="00D5322A" w:rsidRPr="000B74A8" w:rsidRDefault="00D5322A" w:rsidP="000B74A8">
            <w:pPr>
              <w:spacing w:before="0" w:after="60"/>
              <w:jc w:val="center"/>
            </w:pPr>
            <w:r w:rsidRPr="000B74A8">
              <w:rPr>
                <w:color w:val="000000"/>
              </w:rPr>
              <w:t>33.17</w:t>
            </w:r>
            <w:r w:rsidR="00985A0F" w:rsidRPr="000B74A8">
              <w:rPr>
                <w:color w:val="000000"/>
              </w:rPr>
              <w:t xml:space="preserve"> 9 (11.69 %)</w:t>
            </w:r>
          </w:p>
        </w:tc>
        <w:tc>
          <w:tcPr>
            <w:tcW w:w="1687" w:type="dxa"/>
            <w:tcBorders>
              <w:top w:val="double" w:sz="4" w:space="0" w:color="auto"/>
              <w:bottom w:val="single" w:sz="4" w:space="0" w:color="auto"/>
            </w:tcBorders>
            <w:vAlign w:val="center"/>
          </w:tcPr>
          <w:p w14:paraId="4384C7C9" w14:textId="29C7F538" w:rsidR="00D5322A" w:rsidRPr="000B74A8" w:rsidRDefault="00D5322A" w:rsidP="000B74A8">
            <w:pPr>
              <w:spacing w:before="0" w:after="60"/>
              <w:jc w:val="center"/>
              <w:rPr>
                <w:color w:val="000000" w:themeColor="text1"/>
              </w:rPr>
            </w:pPr>
            <w:r w:rsidRPr="000B74A8">
              <w:rPr>
                <w:color w:val="000000"/>
              </w:rPr>
              <w:t>29.12</w:t>
            </w:r>
            <w:r w:rsidR="003F52C2" w:rsidRPr="000B74A8">
              <w:rPr>
                <w:color w:val="000000"/>
              </w:rPr>
              <w:t xml:space="preserve"> (22.46 %)</w:t>
            </w:r>
          </w:p>
        </w:tc>
        <w:tc>
          <w:tcPr>
            <w:tcW w:w="1688" w:type="dxa"/>
            <w:tcBorders>
              <w:top w:val="double" w:sz="4" w:space="0" w:color="auto"/>
              <w:bottom w:val="single" w:sz="4" w:space="0" w:color="auto"/>
            </w:tcBorders>
            <w:vAlign w:val="center"/>
          </w:tcPr>
          <w:p w14:paraId="32C10596" w14:textId="2567FEC4" w:rsidR="00D5322A" w:rsidRPr="000B74A8" w:rsidRDefault="00D5322A" w:rsidP="000B74A8">
            <w:pPr>
              <w:spacing w:before="0" w:after="60"/>
              <w:jc w:val="center"/>
              <w:rPr>
                <w:color w:val="000000" w:themeColor="text1"/>
              </w:rPr>
            </w:pPr>
            <w:r w:rsidRPr="000B74A8">
              <w:rPr>
                <w:color w:val="000000"/>
              </w:rPr>
              <w:t>31.94</w:t>
            </w:r>
            <w:r w:rsidR="003F52C2" w:rsidRPr="000B74A8">
              <w:rPr>
                <w:color w:val="000000"/>
              </w:rPr>
              <w:t xml:space="preserve"> (14.95 %)</w:t>
            </w:r>
          </w:p>
        </w:tc>
      </w:tr>
      <w:tr w:rsidR="000B74A8" w:rsidRPr="00FC08FC" w14:paraId="7F891050" w14:textId="40EB865C" w:rsidTr="000B74A8">
        <w:trPr>
          <w:jc w:val="center"/>
        </w:trPr>
        <w:tc>
          <w:tcPr>
            <w:tcW w:w="625" w:type="dxa"/>
            <w:vMerge/>
            <w:shd w:val="clear" w:color="auto" w:fill="F2F2F2" w:themeFill="background1" w:themeFillShade="F2"/>
            <w:vAlign w:val="center"/>
          </w:tcPr>
          <w:p w14:paraId="602F24C9" w14:textId="77777777" w:rsidR="00D5322A" w:rsidRPr="00F6763C" w:rsidRDefault="00D5322A" w:rsidP="00D5322A">
            <w:pPr>
              <w:spacing w:before="0" w:after="60"/>
              <w:jc w:val="center"/>
            </w:pPr>
          </w:p>
        </w:tc>
        <w:tc>
          <w:tcPr>
            <w:tcW w:w="630" w:type="dxa"/>
            <w:tcBorders>
              <w:right w:val="double" w:sz="4" w:space="0" w:color="auto"/>
            </w:tcBorders>
            <w:shd w:val="clear" w:color="auto" w:fill="F2F2F2" w:themeFill="background1" w:themeFillShade="F2"/>
            <w:vAlign w:val="center"/>
          </w:tcPr>
          <w:p w14:paraId="0BA32F1B" w14:textId="77777777" w:rsidR="00D5322A" w:rsidRPr="00F6763C" w:rsidRDefault="00D5322A" w:rsidP="00D5322A">
            <w:pPr>
              <w:spacing w:before="0" w:after="60"/>
              <w:jc w:val="center"/>
            </w:pPr>
            <w:r w:rsidRPr="00F6763C">
              <w:t>2</w:t>
            </w:r>
          </w:p>
        </w:tc>
        <w:tc>
          <w:tcPr>
            <w:tcW w:w="1170" w:type="dxa"/>
            <w:tcBorders>
              <w:left w:val="double" w:sz="4" w:space="0" w:color="auto"/>
            </w:tcBorders>
            <w:vAlign w:val="center"/>
          </w:tcPr>
          <w:p w14:paraId="0E52CA7F" w14:textId="77777777" w:rsidR="00D5322A" w:rsidRPr="000B74A8" w:rsidRDefault="00D5322A" w:rsidP="000B74A8">
            <w:pPr>
              <w:spacing w:before="0" w:after="60"/>
              <w:jc w:val="center"/>
            </w:pPr>
            <w:r w:rsidRPr="000B74A8">
              <w:t>122.44</w:t>
            </w:r>
          </w:p>
        </w:tc>
        <w:tc>
          <w:tcPr>
            <w:tcW w:w="1170" w:type="dxa"/>
            <w:vAlign w:val="center"/>
          </w:tcPr>
          <w:p w14:paraId="192F19A5" w14:textId="4F35A4AB" w:rsidR="00D5322A" w:rsidRPr="000B74A8" w:rsidRDefault="00D5322A" w:rsidP="000B74A8">
            <w:pPr>
              <w:spacing w:before="0" w:after="60"/>
              <w:jc w:val="center"/>
            </w:pPr>
            <w:r w:rsidRPr="000B74A8">
              <w:rPr>
                <w:color w:val="000000"/>
              </w:rPr>
              <w:t>32.41</w:t>
            </w:r>
          </w:p>
        </w:tc>
        <w:tc>
          <w:tcPr>
            <w:tcW w:w="1687" w:type="dxa"/>
            <w:vAlign w:val="center"/>
          </w:tcPr>
          <w:p w14:paraId="3EF78890" w14:textId="5D1E2BD4" w:rsidR="00D5322A" w:rsidRPr="000B74A8" w:rsidRDefault="00D5322A" w:rsidP="000B74A8">
            <w:pPr>
              <w:spacing w:before="0" w:after="60"/>
              <w:jc w:val="center"/>
            </w:pPr>
            <w:r w:rsidRPr="000B74A8">
              <w:rPr>
                <w:color w:val="000000"/>
              </w:rPr>
              <w:t>31.43</w:t>
            </w:r>
            <w:r w:rsidR="00860E7F" w:rsidRPr="000B74A8">
              <w:rPr>
                <w:color w:val="000000"/>
              </w:rPr>
              <w:t xml:space="preserve"> </w:t>
            </w:r>
            <w:r w:rsidR="000B74A8" w:rsidRPr="000B74A8">
              <w:rPr>
                <w:color w:val="000000"/>
              </w:rPr>
              <w:t>(3.03 %)</w:t>
            </w:r>
          </w:p>
        </w:tc>
        <w:tc>
          <w:tcPr>
            <w:tcW w:w="1688" w:type="dxa"/>
            <w:vAlign w:val="center"/>
          </w:tcPr>
          <w:p w14:paraId="393EC9F0" w14:textId="3D42C8E5" w:rsidR="00D5322A" w:rsidRPr="000B74A8" w:rsidRDefault="00D5322A" w:rsidP="000B74A8">
            <w:pPr>
              <w:spacing w:before="0" w:after="60"/>
              <w:jc w:val="center"/>
            </w:pPr>
            <w:r w:rsidRPr="000B74A8">
              <w:rPr>
                <w:color w:val="000000"/>
              </w:rPr>
              <w:t>30.18</w:t>
            </w:r>
            <w:r w:rsidR="00985A0F" w:rsidRPr="000B74A8">
              <w:rPr>
                <w:color w:val="000000"/>
              </w:rPr>
              <w:t xml:space="preserve"> (6.87 %)</w:t>
            </w:r>
          </w:p>
        </w:tc>
        <w:tc>
          <w:tcPr>
            <w:tcW w:w="1687" w:type="dxa"/>
            <w:tcBorders>
              <w:top w:val="single" w:sz="4" w:space="0" w:color="auto"/>
              <w:bottom w:val="single" w:sz="4" w:space="0" w:color="auto"/>
            </w:tcBorders>
            <w:vAlign w:val="center"/>
          </w:tcPr>
          <w:p w14:paraId="38D5DCEC" w14:textId="66E23DBA" w:rsidR="00D5322A" w:rsidRPr="000B74A8" w:rsidRDefault="00D5322A" w:rsidP="000B74A8">
            <w:pPr>
              <w:spacing w:before="0" w:after="60"/>
              <w:jc w:val="center"/>
            </w:pPr>
            <w:r w:rsidRPr="000B74A8">
              <w:rPr>
                <w:color w:val="000000"/>
              </w:rPr>
              <w:t>28.35</w:t>
            </w:r>
            <w:r w:rsidR="003F52C2" w:rsidRPr="000B74A8">
              <w:rPr>
                <w:color w:val="000000"/>
              </w:rPr>
              <w:t xml:space="preserve"> (12.54 %)</w:t>
            </w:r>
          </w:p>
        </w:tc>
        <w:tc>
          <w:tcPr>
            <w:tcW w:w="1688" w:type="dxa"/>
            <w:tcBorders>
              <w:top w:val="single" w:sz="4" w:space="0" w:color="auto"/>
              <w:bottom w:val="single" w:sz="4" w:space="0" w:color="auto"/>
            </w:tcBorders>
            <w:vAlign w:val="center"/>
          </w:tcPr>
          <w:p w14:paraId="268E4E0A" w14:textId="60508A22" w:rsidR="00D5322A" w:rsidRPr="000B74A8" w:rsidRDefault="00D5322A" w:rsidP="000B74A8">
            <w:pPr>
              <w:spacing w:before="0" w:after="60"/>
              <w:jc w:val="center"/>
            </w:pPr>
            <w:r w:rsidRPr="000B74A8">
              <w:rPr>
                <w:color w:val="000000"/>
              </w:rPr>
              <w:t>28.98</w:t>
            </w:r>
            <w:r w:rsidR="003F52C2" w:rsidRPr="000B74A8">
              <w:rPr>
                <w:color w:val="000000"/>
              </w:rPr>
              <w:t xml:space="preserve"> (10.60 %)</w:t>
            </w:r>
          </w:p>
        </w:tc>
      </w:tr>
      <w:tr w:rsidR="000B74A8" w:rsidRPr="00FC08FC" w14:paraId="0A3E19DC" w14:textId="56D8B130" w:rsidTr="000B74A8">
        <w:trPr>
          <w:jc w:val="center"/>
        </w:trPr>
        <w:tc>
          <w:tcPr>
            <w:tcW w:w="625" w:type="dxa"/>
            <w:vMerge/>
            <w:shd w:val="clear" w:color="auto" w:fill="F2F2F2" w:themeFill="background1" w:themeFillShade="F2"/>
            <w:vAlign w:val="center"/>
          </w:tcPr>
          <w:p w14:paraId="4843D150" w14:textId="77777777" w:rsidR="00D5322A" w:rsidRPr="00F6763C" w:rsidRDefault="00D5322A" w:rsidP="00D5322A">
            <w:pPr>
              <w:spacing w:before="0" w:after="60"/>
              <w:jc w:val="center"/>
            </w:pPr>
          </w:p>
        </w:tc>
        <w:tc>
          <w:tcPr>
            <w:tcW w:w="630" w:type="dxa"/>
            <w:tcBorders>
              <w:right w:val="double" w:sz="4" w:space="0" w:color="auto"/>
            </w:tcBorders>
            <w:shd w:val="clear" w:color="auto" w:fill="F2F2F2" w:themeFill="background1" w:themeFillShade="F2"/>
            <w:vAlign w:val="center"/>
          </w:tcPr>
          <w:p w14:paraId="6CC1B477" w14:textId="77777777" w:rsidR="00D5322A" w:rsidRPr="00F6763C" w:rsidRDefault="00D5322A" w:rsidP="00D5322A">
            <w:pPr>
              <w:spacing w:before="0" w:after="60"/>
              <w:jc w:val="center"/>
            </w:pPr>
            <w:r w:rsidRPr="00F6763C">
              <w:t>4</w:t>
            </w:r>
          </w:p>
        </w:tc>
        <w:tc>
          <w:tcPr>
            <w:tcW w:w="1170" w:type="dxa"/>
            <w:tcBorders>
              <w:left w:val="double" w:sz="4" w:space="0" w:color="auto"/>
            </w:tcBorders>
            <w:vAlign w:val="center"/>
          </w:tcPr>
          <w:p w14:paraId="5E35213B" w14:textId="77777777" w:rsidR="00D5322A" w:rsidRPr="000B74A8" w:rsidRDefault="00D5322A" w:rsidP="000B74A8">
            <w:pPr>
              <w:spacing w:before="0" w:after="60"/>
              <w:jc w:val="center"/>
            </w:pPr>
            <w:r w:rsidRPr="000B74A8">
              <w:t>91.62</w:t>
            </w:r>
          </w:p>
        </w:tc>
        <w:tc>
          <w:tcPr>
            <w:tcW w:w="1170" w:type="dxa"/>
            <w:vAlign w:val="center"/>
          </w:tcPr>
          <w:p w14:paraId="3748B2C5" w14:textId="57FB0BDC" w:rsidR="00D5322A" w:rsidRPr="000B74A8" w:rsidRDefault="00D5322A" w:rsidP="000B74A8">
            <w:pPr>
              <w:spacing w:before="0" w:after="60"/>
              <w:jc w:val="center"/>
            </w:pPr>
            <w:r w:rsidRPr="000B74A8">
              <w:rPr>
                <w:color w:val="000000"/>
              </w:rPr>
              <w:t>29.75</w:t>
            </w:r>
          </w:p>
        </w:tc>
        <w:tc>
          <w:tcPr>
            <w:tcW w:w="1687" w:type="dxa"/>
            <w:vAlign w:val="center"/>
          </w:tcPr>
          <w:p w14:paraId="7AFEFD57" w14:textId="52294C03" w:rsidR="00D5322A" w:rsidRPr="000B74A8" w:rsidRDefault="00D5322A" w:rsidP="000B74A8">
            <w:pPr>
              <w:spacing w:before="0" w:after="60"/>
              <w:jc w:val="center"/>
            </w:pPr>
            <w:r w:rsidRPr="000B74A8">
              <w:rPr>
                <w:color w:val="000000"/>
              </w:rPr>
              <w:t>29.13</w:t>
            </w:r>
            <w:r w:rsidR="00860E7F" w:rsidRPr="000B74A8">
              <w:rPr>
                <w:color w:val="000000"/>
              </w:rPr>
              <w:t xml:space="preserve"> </w:t>
            </w:r>
            <w:r w:rsidR="000B74A8" w:rsidRPr="000B74A8">
              <w:rPr>
                <w:color w:val="000000"/>
              </w:rPr>
              <w:t>(2.07 %)</w:t>
            </w:r>
          </w:p>
        </w:tc>
        <w:tc>
          <w:tcPr>
            <w:tcW w:w="1688" w:type="dxa"/>
            <w:vAlign w:val="center"/>
          </w:tcPr>
          <w:p w14:paraId="2349E147" w14:textId="0AAEFD56" w:rsidR="00D5322A" w:rsidRPr="000B74A8" w:rsidRDefault="00D5322A" w:rsidP="000B74A8">
            <w:pPr>
              <w:spacing w:before="0" w:after="60"/>
              <w:jc w:val="center"/>
            </w:pPr>
            <w:r w:rsidRPr="000B74A8">
              <w:rPr>
                <w:color w:val="000000"/>
              </w:rPr>
              <w:t>28.63</w:t>
            </w:r>
            <w:r w:rsidR="00985A0F" w:rsidRPr="000B74A8">
              <w:rPr>
                <w:color w:val="000000"/>
              </w:rPr>
              <w:t xml:space="preserve"> (3.76 %)</w:t>
            </w:r>
          </w:p>
        </w:tc>
        <w:tc>
          <w:tcPr>
            <w:tcW w:w="1687" w:type="dxa"/>
            <w:tcBorders>
              <w:top w:val="single" w:sz="4" w:space="0" w:color="auto"/>
              <w:bottom w:val="single" w:sz="4" w:space="0" w:color="auto"/>
            </w:tcBorders>
            <w:vAlign w:val="center"/>
          </w:tcPr>
          <w:p w14:paraId="64541F35" w14:textId="598CEA00" w:rsidR="00D5322A" w:rsidRPr="000B74A8" w:rsidRDefault="00D5322A" w:rsidP="000B74A8">
            <w:pPr>
              <w:spacing w:before="0" w:after="60"/>
              <w:jc w:val="center"/>
            </w:pPr>
            <w:r w:rsidRPr="000B74A8">
              <w:rPr>
                <w:color w:val="000000"/>
              </w:rPr>
              <w:t>27.89</w:t>
            </w:r>
            <w:r w:rsidR="003F52C2" w:rsidRPr="000B74A8">
              <w:rPr>
                <w:color w:val="000000"/>
              </w:rPr>
              <w:t xml:space="preserve"> (6.26 %)</w:t>
            </w:r>
          </w:p>
        </w:tc>
        <w:tc>
          <w:tcPr>
            <w:tcW w:w="1688" w:type="dxa"/>
            <w:tcBorders>
              <w:top w:val="single" w:sz="4" w:space="0" w:color="auto"/>
              <w:bottom w:val="single" w:sz="4" w:space="0" w:color="auto"/>
            </w:tcBorders>
            <w:vAlign w:val="center"/>
          </w:tcPr>
          <w:p w14:paraId="52126E88" w14:textId="5D72E62F" w:rsidR="00D5322A" w:rsidRPr="000B74A8" w:rsidRDefault="00D5322A" w:rsidP="000B74A8">
            <w:pPr>
              <w:spacing w:before="0" w:after="60"/>
              <w:jc w:val="center"/>
            </w:pPr>
            <w:r w:rsidRPr="000B74A8">
              <w:rPr>
                <w:color w:val="000000"/>
              </w:rPr>
              <w:t>27.49</w:t>
            </w:r>
            <w:r w:rsidR="003F52C2" w:rsidRPr="000B74A8">
              <w:rPr>
                <w:color w:val="000000"/>
              </w:rPr>
              <w:t xml:space="preserve"> (7.59 %)</w:t>
            </w:r>
          </w:p>
        </w:tc>
      </w:tr>
    </w:tbl>
    <w:p w14:paraId="662AB0D0" w14:textId="77777777" w:rsidR="00592A5A" w:rsidRPr="00FC08FC" w:rsidRDefault="00592A5A" w:rsidP="00592A5A">
      <w:pPr>
        <w:rPr>
          <w:sz w:val="22"/>
          <w:szCs w:val="22"/>
        </w:rPr>
      </w:pPr>
    </w:p>
    <w:p w14:paraId="0ECE1121" w14:textId="64240DAA" w:rsidR="00592A5A" w:rsidRPr="00A60130" w:rsidRDefault="00A60130" w:rsidP="00A60130">
      <w:pPr>
        <w:pStyle w:val="Caption"/>
        <w:jc w:val="center"/>
      </w:pPr>
      <w:bookmarkStart w:id="10" w:name="_Ref54285503"/>
      <w:r w:rsidRPr="00A60130">
        <w:t xml:space="preserve">Table </w:t>
      </w:r>
      <w:fldSimple w:instr=" SEQ Table \* ARABIC ">
        <w:r w:rsidR="00AD3BE1">
          <w:rPr>
            <w:noProof/>
          </w:rPr>
          <w:t>2</w:t>
        </w:r>
      </w:fldSimple>
      <w:bookmarkEnd w:id="10"/>
      <w:r w:rsidR="00592A5A" w:rsidRPr="00A60130">
        <w:t xml:space="preserve">: Median power consumption (relative gain over </w:t>
      </w:r>
      <w:r w:rsidR="008958AF" w:rsidRPr="00A60130">
        <w:t>B</w:t>
      </w:r>
      <w:r w:rsidR="00592A5A" w:rsidRPr="00A60130">
        <w:t>aseline-2 in parentheses)</w:t>
      </w:r>
    </w:p>
    <w:tbl>
      <w:tblPr>
        <w:tblStyle w:val="TableGrid"/>
        <w:tblW w:w="10345" w:type="dxa"/>
        <w:jc w:val="center"/>
        <w:tblLayout w:type="fixed"/>
        <w:tblLook w:val="04A0" w:firstRow="1" w:lastRow="0" w:firstColumn="1" w:lastColumn="0" w:noHBand="0" w:noVBand="1"/>
      </w:tblPr>
      <w:tblGrid>
        <w:gridCol w:w="625"/>
        <w:gridCol w:w="630"/>
        <w:gridCol w:w="1170"/>
        <w:gridCol w:w="1170"/>
        <w:gridCol w:w="1687"/>
        <w:gridCol w:w="1688"/>
        <w:gridCol w:w="1687"/>
        <w:gridCol w:w="1688"/>
      </w:tblGrid>
      <w:tr w:rsidR="00FF06C5" w:rsidRPr="00FC08FC" w14:paraId="0387706A" w14:textId="337D37C2" w:rsidTr="000B74A8">
        <w:trPr>
          <w:jc w:val="center"/>
        </w:trPr>
        <w:tc>
          <w:tcPr>
            <w:tcW w:w="1255" w:type="dxa"/>
            <w:gridSpan w:val="2"/>
            <w:tcBorders>
              <w:bottom w:val="double" w:sz="4" w:space="0" w:color="auto"/>
              <w:right w:val="double" w:sz="4" w:space="0" w:color="auto"/>
            </w:tcBorders>
            <w:shd w:val="clear" w:color="auto" w:fill="E7E6E6" w:themeFill="background2"/>
            <w:vAlign w:val="center"/>
          </w:tcPr>
          <w:p w14:paraId="1273D23E" w14:textId="77777777" w:rsidR="00FF06C5" w:rsidRPr="00E427A0" w:rsidRDefault="00FF06C5" w:rsidP="002D2DD4">
            <w:pPr>
              <w:spacing w:before="0" w:after="60"/>
              <w:jc w:val="center"/>
              <w:rPr>
                <w:b/>
              </w:rPr>
            </w:pPr>
            <w:r w:rsidRPr="00E427A0">
              <w:rPr>
                <w:b/>
              </w:rPr>
              <w:t>PDCCH periodicity</w:t>
            </w:r>
          </w:p>
        </w:tc>
        <w:tc>
          <w:tcPr>
            <w:tcW w:w="1170" w:type="dxa"/>
            <w:tcBorders>
              <w:left w:val="double" w:sz="4" w:space="0" w:color="auto"/>
              <w:bottom w:val="double" w:sz="4" w:space="0" w:color="auto"/>
            </w:tcBorders>
            <w:shd w:val="clear" w:color="auto" w:fill="E7E6E6" w:themeFill="background2"/>
            <w:vAlign w:val="center"/>
          </w:tcPr>
          <w:p w14:paraId="0055514B" w14:textId="77777777" w:rsidR="00FF06C5" w:rsidRPr="00E427A0" w:rsidRDefault="00FF06C5" w:rsidP="002D2DD4">
            <w:pPr>
              <w:spacing w:before="0" w:after="60"/>
              <w:jc w:val="center"/>
              <w:rPr>
                <w:b/>
              </w:rPr>
            </w:pPr>
            <w:r w:rsidRPr="00E427A0">
              <w:rPr>
                <w:b/>
              </w:rPr>
              <w:t>Baseline</w:t>
            </w:r>
            <w:r>
              <w:rPr>
                <w:b/>
              </w:rPr>
              <w:t>-</w:t>
            </w:r>
            <w:r w:rsidRPr="00E427A0">
              <w:rPr>
                <w:b/>
              </w:rPr>
              <w:t>1</w:t>
            </w:r>
          </w:p>
        </w:tc>
        <w:tc>
          <w:tcPr>
            <w:tcW w:w="1170" w:type="dxa"/>
            <w:tcBorders>
              <w:bottom w:val="double" w:sz="4" w:space="0" w:color="auto"/>
            </w:tcBorders>
            <w:shd w:val="clear" w:color="auto" w:fill="E7E6E6" w:themeFill="background2"/>
            <w:vAlign w:val="center"/>
          </w:tcPr>
          <w:p w14:paraId="641C69A2" w14:textId="77777777" w:rsidR="00FF06C5" w:rsidRPr="00E427A0" w:rsidRDefault="00FF06C5" w:rsidP="002D2DD4">
            <w:pPr>
              <w:spacing w:before="0" w:after="60"/>
              <w:jc w:val="center"/>
              <w:rPr>
                <w:b/>
              </w:rPr>
            </w:pPr>
            <w:r w:rsidRPr="00E427A0">
              <w:rPr>
                <w:b/>
              </w:rPr>
              <w:t>Baseline</w:t>
            </w:r>
            <w:r>
              <w:rPr>
                <w:b/>
              </w:rPr>
              <w:t>-</w:t>
            </w:r>
            <w:r w:rsidRPr="00E427A0">
              <w:rPr>
                <w:b/>
              </w:rPr>
              <w:t>2</w:t>
            </w:r>
          </w:p>
        </w:tc>
        <w:tc>
          <w:tcPr>
            <w:tcW w:w="1687" w:type="dxa"/>
            <w:tcBorders>
              <w:bottom w:val="double" w:sz="4" w:space="0" w:color="auto"/>
            </w:tcBorders>
            <w:shd w:val="clear" w:color="auto" w:fill="E7E6E6" w:themeFill="background2"/>
            <w:vAlign w:val="center"/>
          </w:tcPr>
          <w:p w14:paraId="310D5F52" w14:textId="2C77C074" w:rsidR="00FF06C5" w:rsidRPr="00E427A0" w:rsidRDefault="00FF06C5" w:rsidP="002D2DD4">
            <w:pPr>
              <w:spacing w:before="0" w:after="60"/>
              <w:jc w:val="center"/>
              <w:rPr>
                <w:b/>
              </w:rPr>
            </w:pPr>
            <w:r w:rsidRPr="00E427A0">
              <w:rPr>
                <w:b/>
              </w:rPr>
              <w:t>WUS</w:t>
            </w:r>
            <w:r w:rsidR="008958AF">
              <w:rPr>
                <w:b/>
              </w:rPr>
              <w:t>-Long</w:t>
            </w:r>
          </w:p>
        </w:tc>
        <w:tc>
          <w:tcPr>
            <w:tcW w:w="1688" w:type="dxa"/>
            <w:tcBorders>
              <w:bottom w:val="double" w:sz="4" w:space="0" w:color="auto"/>
            </w:tcBorders>
            <w:shd w:val="clear" w:color="auto" w:fill="E7E6E6" w:themeFill="background2"/>
            <w:vAlign w:val="center"/>
          </w:tcPr>
          <w:p w14:paraId="690E8B21" w14:textId="4E9CDEBA" w:rsidR="00FF06C5" w:rsidRPr="00E427A0" w:rsidRDefault="00FF06C5" w:rsidP="002D2DD4">
            <w:pPr>
              <w:spacing w:before="0" w:after="60"/>
              <w:jc w:val="center"/>
              <w:rPr>
                <w:b/>
              </w:rPr>
            </w:pPr>
            <w:r w:rsidRPr="00E427A0">
              <w:rPr>
                <w:b/>
              </w:rPr>
              <w:t>Cross-slot scheduling</w:t>
            </w:r>
          </w:p>
        </w:tc>
        <w:tc>
          <w:tcPr>
            <w:tcW w:w="1687" w:type="dxa"/>
            <w:tcBorders>
              <w:bottom w:val="double" w:sz="4" w:space="0" w:color="auto"/>
            </w:tcBorders>
            <w:shd w:val="clear" w:color="auto" w:fill="E7E6E6" w:themeFill="background2"/>
            <w:vAlign w:val="center"/>
          </w:tcPr>
          <w:p w14:paraId="6DFC4F9F" w14:textId="3084E446" w:rsidR="00FF06C5" w:rsidRPr="00E427A0" w:rsidRDefault="00FF06C5" w:rsidP="002D2DD4">
            <w:pPr>
              <w:spacing w:before="0" w:after="60"/>
              <w:jc w:val="center"/>
              <w:rPr>
                <w:b/>
              </w:rPr>
            </w:pPr>
            <w:r w:rsidRPr="00E427A0">
              <w:rPr>
                <w:b/>
              </w:rPr>
              <w:t>PDCCH skip</w:t>
            </w:r>
          </w:p>
        </w:tc>
        <w:tc>
          <w:tcPr>
            <w:tcW w:w="1688" w:type="dxa"/>
            <w:tcBorders>
              <w:bottom w:val="double" w:sz="4" w:space="0" w:color="auto"/>
            </w:tcBorders>
            <w:shd w:val="clear" w:color="auto" w:fill="E7E6E6" w:themeFill="background2"/>
          </w:tcPr>
          <w:p w14:paraId="65D0D9C0" w14:textId="0362B4CF" w:rsidR="00FF06C5" w:rsidRPr="00E427A0" w:rsidRDefault="008958AF" w:rsidP="002D2DD4">
            <w:pPr>
              <w:spacing w:after="60"/>
              <w:jc w:val="center"/>
              <w:rPr>
                <w:b/>
              </w:rPr>
            </w:pPr>
            <w:r>
              <w:rPr>
                <w:b/>
              </w:rPr>
              <w:t>WUS-Short</w:t>
            </w:r>
          </w:p>
        </w:tc>
      </w:tr>
      <w:tr w:rsidR="00875FE6" w:rsidRPr="00FC08FC" w14:paraId="56B7BC5A" w14:textId="26C7537C" w:rsidTr="000B74A8">
        <w:trPr>
          <w:jc w:val="center"/>
        </w:trPr>
        <w:tc>
          <w:tcPr>
            <w:tcW w:w="625" w:type="dxa"/>
            <w:vMerge w:val="restart"/>
            <w:tcBorders>
              <w:top w:val="double" w:sz="4" w:space="0" w:color="auto"/>
            </w:tcBorders>
            <w:shd w:val="clear" w:color="auto" w:fill="F2F2F2" w:themeFill="background1" w:themeFillShade="F2"/>
            <w:vAlign w:val="center"/>
          </w:tcPr>
          <w:p w14:paraId="7DF04A7A" w14:textId="77777777" w:rsidR="00875FE6" w:rsidRPr="00E427A0" w:rsidRDefault="00875FE6" w:rsidP="00875FE6">
            <w:pPr>
              <w:spacing w:before="0" w:after="60"/>
              <w:jc w:val="center"/>
            </w:pPr>
            <w:r w:rsidRPr="00E427A0">
              <w:lastRenderedPageBreak/>
              <w:t>FR1</w:t>
            </w:r>
          </w:p>
        </w:tc>
        <w:tc>
          <w:tcPr>
            <w:tcW w:w="630" w:type="dxa"/>
            <w:tcBorders>
              <w:top w:val="double" w:sz="4" w:space="0" w:color="auto"/>
              <w:right w:val="double" w:sz="4" w:space="0" w:color="auto"/>
            </w:tcBorders>
            <w:shd w:val="clear" w:color="auto" w:fill="F2F2F2" w:themeFill="background1" w:themeFillShade="F2"/>
            <w:vAlign w:val="center"/>
          </w:tcPr>
          <w:p w14:paraId="06661E77" w14:textId="77777777" w:rsidR="00875FE6" w:rsidRPr="00E427A0" w:rsidRDefault="00875FE6" w:rsidP="00875FE6">
            <w:pPr>
              <w:spacing w:before="0" w:after="60"/>
              <w:jc w:val="center"/>
            </w:pPr>
            <w:r w:rsidRPr="00E427A0">
              <w:t>1</w:t>
            </w:r>
          </w:p>
        </w:tc>
        <w:tc>
          <w:tcPr>
            <w:tcW w:w="1170" w:type="dxa"/>
            <w:tcBorders>
              <w:top w:val="double" w:sz="4" w:space="0" w:color="auto"/>
              <w:left w:val="double" w:sz="4" w:space="0" w:color="auto"/>
            </w:tcBorders>
            <w:vAlign w:val="center"/>
          </w:tcPr>
          <w:p w14:paraId="16AB5D53" w14:textId="77777777" w:rsidR="00875FE6" w:rsidRPr="000B74A8" w:rsidRDefault="00875FE6" w:rsidP="000B74A8">
            <w:pPr>
              <w:spacing w:before="0" w:after="60"/>
              <w:jc w:val="center"/>
            </w:pPr>
            <w:r w:rsidRPr="000B74A8">
              <w:t>108.00</w:t>
            </w:r>
          </w:p>
        </w:tc>
        <w:tc>
          <w:tcPr>
            <w:tcW w:w="1170" w:type="dxa"/>
            <w:tcBorders>
              <w:top w:val="double" w:sz="4" w:space="0" w:color="auto"/>
            </w:tcBorders>
            <w:vAlign w:val="center"/>
          </w:tcPr>
          <w:p w14:paraId="4728056E" w14:textId="161FDD20" w:rsidR="00875FE6" w:rsidRPr="000B74A8" w:rsidRDefault="00875FE6" w:rsidP="000B74A8">
            <w:pPr>
              <w:spacing w:before="0" w:after="60"/>
              <w:jc w:val="center"/>
            </w:pPr>
            <w:r w:rsidRPr="000B74A8">
              <w:rPr>
                <w:color w:val="000000"/>
              </w:rPr>
              <w:t>23.57</w:t>
            </w:r>
          </w:p>
        </w:tc>
        <w:tc>
          <w:tcPr>
            <w:tcW w:w="1687" w:type="dxa"/>
            <w:tcBorders>
              <w:top w:val="double" w:sz="4" w:space="0" w:color="auto"/>
            </w:tcBorders>
            <w:vAlign w:val="center"/>
          </w:tcPr>
          <w:p w14:paraId="6565235A" w14:textId="0D0C8B13" w:rsidR="00875FE6" w:rsidRPr="000B74A8" w:rsidRDefault="00875FE6" w:rsidP="000B74A8">
            <w:pPr>
              <w:spacing w:before="0" w:after="60"/>
              <w:jc w:val="center"/>
            </w:pPr>
            <w:r w:rsidRPr="000B74A8">
              <w:rPr>
                <w:color w:val="000000"/>
              </w:rPr>
              <w:t>21.52</w:t>
            </w:r>
            <w:r w:rsidR="00951D78">
              <w:rPr>
                <w:color w:val="000000"/>
              </w:rPr>
              <w:t xml:space="preserve"> (8.71 %)</w:t>
            </w:r>
          </w:p>
        </w:tc>
        <w:tc>
          <w:tcPr>
            <w:tcW w:w="1688" w:type="dxa"/>
            <w:tcBorders>
              <w:top w:val="double" w:sz="4" w:space="0" w:color="auto"/>
            </w:tcBorders>
            <w:vAlign w:val="center"/>
          </w:tcPr>
          <w:p w14:paraId="740A1E17" w14:textId="1011042D" w:rsidR="00875FE6" w:rsidRPr="000B74A8" w:rsidRDefault="00875FE6" w:rsidP="000B74A8">
            <w:pPr>
              <w:spacing w:before="0" w:after="60"/>
              <w:jc w:val="center"/>
            </w:pPr>
            <w:r w:rsidRPr="000B74A8">
              <w:rPr>
                <w:color w:val="000000"/>
              </w:rPr>
              <w:t>20.79</w:t>
            </w:r>
            <w:r w:rsidR="00951D78">
              <w:rPr>
                <w:color w:val="000000"/>
              </w:rPr>
              <w:t xml:space="preserve"> (11.79 %)</w:t>
            </w:r>
          </w:p>
        </w:tc>
        <w:tc>
          <w:tcPr>
            <w:tcW w:w="1687" w:type="dxa"/>
            <w:tcBorders>
              <w:top w:val="double" w:sz="4" w:space="0" w:color="auto"/>
              <w:bottom w:val="single" w:sz="4" w:space="0" w:color="auto"/>
            </w:tcBorders>
            <w:vAlign w:val="center"/>
          </w:tcPr>
          <w:p w14:paraId="433155DC" w14:textId="6F39E4D6" w:rsidR="00875FE6" w:rsidRPr="000B74A8" w:rsidRDefault="00875FE6" w:rsidP="000B74A8">
            <w:pPr>
              <w:spacing w:before="0" w:after="60"/>
              <w:jc w:val="center"/>
            </w:pPr>
            <w:r w:rsidRPr="000B74A8">
              <w:rPr>
                <w:color w:val="000000"/>
              </w:rPr>
              <w:t>20.19</w:t>
            </w:r>
            <w:r w:rsidR="00951D78">
              <w:rPr>
                <w:color w:val="000000"/>
              </w:rPr>
              <w:t xml:space="preserve"> (14.35 %)</w:t>
            </w:r>
          </w:p>
        </w:tc>
        <w:tc>
          <w:tcPr>
            <w:tcW w:w="1688" w:type="dxa"/>
            <w:tcBorders>
              <w:top w:val="double" w:sz="4" w:space="0" w:color="auto"/>
              <w:bottom w:val="single" w:sz="4" w:space="0" w:color="auto"/>
            </w:tcBorders>
            <w:vAlign w:val="center"/>
          </w:tcPr>
          <w:p w14:paraId="47DA790A" w14:textId="5E5B13B0" w:rsidR="00875FE6" w:rsidRPr="000B74A8" w:rsidRDefault="00875FE6" w:rsidP="000B74A8">
            <w:pPr>
              <w:spacing w:before="0" w:after="60"/>
              <w:jc w:val="center"/>
            </w:pPr>
            <w:r w:rsidRPr="000B74A8">
              <w:rPr>
                <w:color w:val="000000"/>
              </w:rPr>
              <w:t>19.45</w:t>
            </w:r>
            <w:r w:rsidR="00CC1B5C">
              <w:rPr>
                <w:color w:val="000000"/>
              </w:rPr>
              <w:t xml:space="preserve"> (17.50 %)</w:t>
            </w:r>
          </w:p>
        </w:tc>
      </w:tr>
      <w:tr w:rsidR="00875FE6" w:rsidRPr="00FC08FC" w14:paraId="67A49F2E" w14:textId="3ADFE2F8" w:rsidTr="000B74A8">
        <w:trPr>
          <w:jc w:val="center"/>
        </w:trPr>
        <w:tc>
          <w:tcPr>
            <w:tcW w:w="625" w:type="dxa"/>
            <w:vMerge/>
            <w:shd w:val="clear" w:color="auto" w:fill="F2F2F2" w:themeFill="background1" w:themeFillShade="F2"/>
            <w:vAlign w:val="center"/>
          </w:tcPr>
          <w:p w14:paraId="61C1A3F5" w14:textId="77777777" w:rsidR="00875FE6" w:rsidRPr="00E427A0" w:rsidRDefault="00875FE6" w:rsidP="00875FE6">
            <w:pPr>
              <w:spacing w:before="0" w:after="60"/>
              <w:jc w:val="center"/>
            </w:pPr>
          </w:p>
        </w:tc>
        <w:tc>
          <w:tcPr>
            <w:tcW w:w="630" w:type="dxa"/>
            <w:tcBorders>
              <w:right w:val="double" w:sz="4" w:space="0" w:color="auto"/>
            </w:tcBorders>
            <w:shd w:val="clear" w:color="auto" w:fill="F2F2F2" w:themeFill="background1" w:themeFillShade="F2"/>
            <w:vAlign w:val="center"/>
          </w:tcPr>
          <w:p w14:paraId="5CBBD0FC" w14:textId="77777777" w:rsidR="00875FE6" w:rsidRPr="00E427A0" w:rsidRDefault="00875FE6" w:rsidP="00875FE6">
            <w:pPr>
              <w:spacing w:before="0" w:after="60"/>
              <w:jc w:val="center"/>
            </w:pPr>
            <w:r w:rsidRPr="00E427A0">
              <w:t>2</w:t>
            </w:r>
          </w:p>
        </w:tc>
        <w:tc>
          <w:tcPr>
            <w:tcW w:w="1170" w:type="dxa"/>
            <w:tcBorders>
              <w:left w:val="double" w:sz="4" w:space="0" w:color="auto"/>
            </w:tcBorders>
            <w:vAlign w:val="center"/>
          </w:tcPr>
          <w:p w14:paraId="2C4D2B5D" w14:textId="77777777" w:rsidR="00875FE6" w:rsidRPr="000B74A8" w:rsidRDefault="00875FE6" w:rsidP="000B74A8">
            <w:pPr>
              <w:spacing w:before="0" w:after="60"/>
              <w:jc w:val="center"/>
            </w:pPr>
            <w:r w:rsidRPr="000B74A8">
              <w:t>81.59</w:t>
            </w:r>
          </w:p>
        </w:tc>
        <w:tc>
          <w:tcPr>
            <w:tcW w:w="1170" w:type="dxa"/>
            <w:vAlign w:val="center"/>
          </w:tcPr>
          <w:p w14:paraId="27856421" w14:textId="52259719" w:rsidR="00875FE6" w:rsidRPr="000B74A8" w:rsidRDefault="00875FE6" w:rsidP="000B74A8">
            <w:pPr>
              <w:spacing w:before="0" w:after="60"/>
              <w:jc w:val="center"/>
            </w:pPr>
            <w:r w:rsidRPr="000B74A8">
              <w:rPr>
                <w:color w:val="000000"/>
              </w:rPr>
              <w:t>21.79</w:t>
            </w:r>
          </w:p>
        </w:tc>
        <w:tc>
          <w:tcPr>
            <w:tcW w:w="1687" w:type="dxa"/>
            <w:vAlign w:val="center"/>
          </w:tcPr>
          <w:p w14:paraId="435F1B8E" w14:textId="4D2E8716" w:rsidR="00875FE6" w:rsidRPr="000B74A8" w:rsidRDefault="00875FE6" w:rsidP="000B74A8">
            <w:pPr>
              <w:spacing w:before="0" w:after="60"/>
              <w:jc w:val="center"/>
            </w:pPr>
            <w:r w:rsidRPr="000B74A8">
              <w:rPr>
                <w:color w:val="000000"/>
              </w:rPr>
              <w:t>20.42</w:t>
            </w:r>
            <w:r w:rsidR="00951D78">
              <w:rPr>
                <w:color w:val="000000"/>
              </w:rPr>
              <w:t xml:space="preserve"> (6.27 %)</w:t>
            </w:r>
          </w:p>
        </w:tc>
        <w:tc>
          <w:tcPr>
            <w:tcW w:w="1688" w:type="dxa"/>
            <w:vAlign w:val="center"/>
          </w:tcPr>
          <w:p w14:paraId="32B1010F" w14:textId="3B5CB09B" w:rsidR="00875FE6" w:rsidRPr="000B74A8" w:rsidRDefault="00875FE6" w:rsidP="000B74A8">
            <w:pPr>
              <w:spacing w:before="0" w:after="60"/>
              <w:jc w:val="center"/>
            </w:pPr>
            <w:r w:rsidRPr="000B74A8">
              <w:rPr>
                <w:color w:val="000000"/>
              </w:rPr>
              <w:t>20.04</w:t>
            </w:r>
            <w:r w:rsidR="00951D78">
              <w:rPr>
                <w:color w:val="000000"/>
              </w:rPr>
              <w:t xml:space="preserve"> (8.01 %)</w:t>
            </w:r>
          </w:p>
        </w:tc>
        <w:tc>
          <w:tcPr>
            <w:tcW w:w="1687" w:type="dxa"/>
            <w:tcBorders>
              <w:top w:val="single" w:sz="4" w:space="0" w:color="auto"/>
              <w:bottom w:val="single" w:sz="4" w:space="0" w:color="auto"/>
            </w:tcBorders>
            <w:vAlign w:val="center"/>
          </w:tcPr>
          <w:p w14:paraId="4B827A8F" w14:textId="02EEB329" w:rsidR="00875FE6" w:rsidRPr="000B74A8" w:rsidRDefault="00875FE6" w:rsidP="000B74A8">
            <w:pPr>
              <w:spacing w:before="0" w:after="60"/>
              <w:jc w:val="center"/>
            </w:pPr>
            <w:r w:rsidRPr="000B74A8">
              <w:rPr>
                <w:color w:val="000000"/>
              </w:rPr>
              <w:t>19.73</w:t>
            </w:r>
            <w:r w:rsidR="00951D78">
              <w:rPr>
                <w:color w:val="000000"/>
              </w:rPr>
              <w:t xml:space="preserve"> (9.46 %)</w:t>
            </w:r>
          </w:p>
        </w:tc>
        <w:tc>
          <w:tcPr>
            <w:tcW w:w="1688" w:type="dxa"/>
            <w:tcBorders>
              <w:top w:val="single" w:sz="4" w:space="0" w:color="auto"/>
              <w:bottom w:val="single" w:sz="4" w:space="0" w:color="auto"/>
            </w:tcBorders>
            <w:vAlign w:val="center"/>
          </w:tcPr>
          <w:p w14:paraId="3A131CF6" w14:textId="319C57A7" w:rsidR="00875FE6" w:rsidRPr="000B74A8" w:rsidRDefault="00875FE6" w:rsidP="000B74A8">
            <w:pPr>
              <w:spacing w:before="0" w:after="60"/>
              <w:jc w:val="center"/>
            </w:pPr>
            <w:r w:rsidRPr="000B74A8">
              <w:rPr>
                <w:color w:val="000000"/>
              </w:rPr>
              <w:t>18.76</w:t>
            </w:r>
            <w:r w:rsidR="00CC1B5C">
              <w:rPr>
                <w:color w:val="000000"/>
              </w:rPr>
              <w:t xml:space="preserve"> (13.90 %)</w:t>
            </w:r>
          </w:p>
        </w:tc>
      </w:tr>
      <w:tr w:rsidR="00875FE6" w:rsidRPr="00FC08FC" w14:paraId="45AC8DE8" w14:textId="1D0C76A2" w:rsidTr="000B74A8">
        <w:trPr>
          <w:jc w:val="center"/>
        </w:trPr>
        <w:tc>
          <w:tcPr>
            <w:tcW w:w="625" w:type="dxa"/>
            <w:vMerge w:val="restart"/>
            <w:tcBorders>
              <w:top w:val="double" w:sz="4" w:space="0" w:color="auto"/>
            </w:tcBorders>
            <w:shd w:val="clear" w:color="auto" w:fill="F2F2F2" w:themeFill="background1" w:themeFillShade="F2"/>
            <w:vAlign w:val="center"/>
          </w:tcPr>
          <w:p w14:paraId="317BA2BF" w14:textId="77777777" w:rsidR="00875FE6" w:rsidRPr="00E427A0" w:rsidRDefault="00875FE6" w:rsidP="00875FE6">
            <w:pPr>
              <w:spacing w:before="0" w:after="60"/>
              <w:jc w:val="center"/>
            </w:pPr>
            <w:r w:rsidRPr="00E427A0">
              <w:t>FR2</w:t>
            </w:r>
          </w:p>
        </w:tc>
        <w:tc>
          <w:tcPr>
            <w:tcW w:w="630" w:type="dxa"/>
            <w:tcBorders>
              <w:top w:val="double" w:sz="4" w:space="0" w:color="auto"/>
              <w:right w:val="double" w:sz="4" w:space="0" w:color="auto"/>
            </w:tcBorders>
            <w:shd w:val="clear" w:color="auto" w:fill="F2F2F2" w:themeFill="background1" w:themeFillShade="F2"/>
            <w:vAlign w:val="center"/>
          </w:tcPr>
          <w:p w14:paraId="6F1F369A" w14:textId="77777777" w:rsidR="00875FE6" w:rsidRPr="00E427A0" w:rsidRDefault="00875FE6" w:rsidP="00875FE6">
            <w:pPr>
              <w:spacing w:before="0" w:after="60"/>
              <w:jc w:val="center"/>
            </w:pPr>
            <w:r w:rsidRPr="00E427A0">
              <w:t>1</w:t>
            </w:r>
          </w:p>
        </w:tc>
        <w:tc>
          <w:tcPr>
            <w:tcW w:w="1170" w:type="dxa"/>
            <w:tcBorders>
              <w:top w:val="double" w:sz="4" w:space="0" w:color="auto"/>
              <w:left w:val="double" w:sz="4" w:space="0" w:color="auto"/>
            </w:tcBorders>
            <w:vAlign w:val="center"/>
          </w:tcPr>
          <w:p w14:paraId="1B7E9B26" w14:textId="77777777" w:rsidR="00875FE6" w:rsidRPr="000B74A8" w:rsidRDefault="00875FE6" w:rsidP="000B74A8">
            <w:pPr>
              <w:spacing w:before="0" w:after="60"/>
              <w:jc w:val="center"/>
              <w:rPr>
                <w:color w:val="000000" w:themeColor="text1"/>
              </w:rPr>
            </w:pPr>
            <w:r w:rsidRPr="000B74A8">
              <w:t>182.00</w:t>
            </w:r>
          </w:p>
        </w:tc>
        <w:tc>
          <w:tcPr>
            <w:tcW w:w="1170" w:type="dxa"/>
            <w:tcBorders>
              <w:top w:val="double" w:sz="4" w:space="0" w:color="auto"/>
            </w:tcBorders>
            <w:vAlign w:val="center"/>
          </w:tcPr>
          <w:p w14:paraId="6312B52E" w14:textId="51A8E0AE" w:rsidR="00875FE6" w:rsidRPr="000B74A8" w:rsidRDefault="00875FE6" w:rsidP="000B74A8">
            <w:pPr>
              <w:spacing w:before="0" w:after="60"/>
              <w:jc w:val="center"/>
            </w:pPr>
            <w:r w:rsidRPr="000B74A8">
              <w:rPr>
                <w:color w:val="000000"/>
              </w:rPr>
              <w:t>34.19</w:t>
            </w:r>
          </w:p>
        </w:tc>
        <w:tc>
          <w:tcPr>
            <w:tcW w:w="1687" w:type="dxa"/>
            <w:tcBorders>
              <w:top w:val="double" w:sz="4" w:space="0" w:color="auto"/>
            </w:tcBorders>
            <w:vAlign w:val="center"/>
          </w:tcPr>
          <w:p w14:paraId="5FBD7E46" w14:textId="7E24478C" w:rsidR="00875FE6" w:rsidRPr="000B74A8" w:rsidRDefault="00875FE6" w:rsidP="000B74A8">
            <w:pPr>
              <w:spacing w:before="0" w:after="60"/>
              <w:jc w:val="center"/>
              <w:rPr>
                <w:color w:val="000000" w:themeColor="text1"/>
              </w:rPr>
            </w:pPr>
            <w:r w:rsidRPr="000B74A8">
              <w:rPr>
                <w:color w:val="000000"/>
              </w:rPr>
              <w:t>32.62</w:t>
            </w:r>
            <w:r w:rsidR="00951D78">
              <w:rPr>
                <w:color w:val="000000"/>
              </w:rPr>
              <w:t xml:space="preserve"> (4.60 %)</w:t>
            </w:r>
          </w:p>
        </w:tc>
        <w:tc>
          <w:tcPr>
            <w:tcW w:w="1688" w:type="dxa"/>
            <w:tcBorders>
              <w:top w:val="double" w:sz="4" w:space="0" w:color="auto"/>
            </w:tcBorders>
            <w:vAlign w:val="center"/>
          </w:tcPr>
          <w:p w14:paraId="03A23819" w14:textId="0CE674DD" w:rsidR="00875FE6" w:rsidRPr="000B74A8" w:rsidRDefault="00875FE6" w:rsidP="000B74A8">
            <w:pPr>
              <w:spacing w:before="0" w:after="60"/>
              <w:jc w:val="center"/>
            </w:pPr>
            <w:r w:rsidRPr="000B74A8">
              <w:rPr>
                <w:color w:val="000000"/>
              </w:rPr>
              <w:t>29.90</w:t>
            </w:r>
            <w:r w:rsidR="00951D78">
              <w:rPr>
                <w:color w:val="000000"/>
              </w:rPr>
              <w:t xml:space="preserve"> (12.56 %)</w:t>
            </w:r>
          </w:p>
        </w:tc>
        <w:tc>
          <w:tcPr>
            <w:tcW w:w="1687" w:type="dxa"/>
            <w:tcBorders>
              <w:top w:val="double" w:sz="4" w:space="0" w:color="auto"/>
              <w:bottom w:val="single" w:sz="4" w:space="0" w:color="auto"/>
            </w:tcBorders>
            <w:vAlign w:val="center"/>
          </w:tcPr>
          <w:p w14:paraId="014EC372" w14:textId="7602C168" w:rsidR="00875FE6" w:rsidRPr="000B74A8" w:rsidRDefault="00875FE6" w:rsidP="000B74A8">
            <w:pPr>
              <w:spacing w:before="0" w:after="60"/>
              <w:jc w:val="center"/>
              <w:rPr>
                <w:color w:val="000000" w:themeColor="text1"/>
              </w:rPr>
            </w:pPr>
            <w:r w:rsidRPr="000B74A8">
              <w:rPr>
                <w:color w:val="000000"/>
              </w:rPr>
              <w:t>25.88</w:t>
            </w:r>
            <w:r w:rsidR="00951D78">
              <w:rPr>
                <w:color w:val="000000"/>
              </w:rPr>
              <w:t xml:space="preserve"> (24.31 %)</w:t>
            </w:r>
          </w:p>
        </w:tc>
        <w:tc>
          <w:tcPr>
            <w:tcW w:w="1688" w:type="dxa"/>
            <w:tcBorders>
              <w:top w:val="double" w:sz="4" w:space="0" w:color="auto"/>
              <w:bottom w:val="single" w:sz="4" w:space="0" w:color="auto"/>
            </w:tcBorders>
            <w:vAlign w:val="center"/>
          </w:tcPr>
          <w:p w14:paraId="022FF81A" w14:textId="4C878EEF" w:rsidR="00875FE6" w:rsidRPr="000B74A8" w:rsidRDefault="00875FE6" w:rsidP="000B74A8">
            <w:pPr>
              <w:spacing w:before="0" w:after="60"/>
              <w:jc w:val="center"/>
              <w:rPr>
                <w:color w:val="000000" w:themeColor="text1"/>
              </w:rPr>
            </w:pPr>
            <w:r w:rsidRPr="000B74A8">
              <w:rPr>
                <w:color w:val="000000"/>
              </w:rPr>
              <w:t>28.22</w:t>
            </w:r>
            <w:r w:rsidR="00CC1B5C">
              <w:rPr>
                <w:color w:val="000000"/>
              </w:rPr>
              <w:t xml:space="preserve"> (17.47 %)</w:t>
            </w:r>
          </w:p>
        </w:tc>
      </w:tr>
      <w:tr w:rsidR="00875FE6" w:rsidRPr="00FC08FC" w14:paraId="3F5D84DC" w14:textId="75BF0234" w:rsidTr="000B74A8">
        <w:trPr>
          <w:jc w:val="center"/>
        </w:trPr>
        <w:tc>
          <w:tcPr>
            <w:tcW w:w="625" w:type="dxa"/>
            <w:vMerge/>
            <w:shd w:val="clear" w:color="auto" w:fill="F2F2F2" w:themeFill="background1" w:themeFillShade="F2"/>
            <w:vAlign w:val="center"/>
          </w:tcPr>
          <w:p w14:paraId="07CCDE8B" w14:textId="77777777" w:rsidR="00875FE6" w:rsidRPr="00E427A0" w:rsidRDefault="00875FE6" w:rsidP="00875FE6">
            <w:pPr>
              <w:spacing w:before="0" w:after="60"/>
              <w:jc w:val="center"/>
            </w:pPr>
          </w:p>
        </w:tc>
        <w:tc>
          <w:tcPr>
            <w:tcW w:w="630" w:type="dxa"/>
            <w:tcBorders>
              <w:right w:val="double" w:sz="4" w:space="0" w:color="auto"/>
            </w:tcBorders>
            <w:shd w:val="clear" w:color="auto" w:fill="F2F2F2" w:themeFill="background1" w:themeFillShade="F2"/>
            <w:vAlign w:val="center"/>
          </w:tcPr>
          <w:p w14:paraId="59823098" w14:textId="77777777" w:rsidR="00875FE6" w:rsidRPr="00E427A0" w:rsidRDefault="00875FE6" w:rsidP="00875FE6">
            <w:pPr>
              <w:spacing w:before="0" w:after="60"/>
              <w:jc w:val="center"/>
            </w:pPr>
            <w:r w:rsidRPr="00E427A0">
              <w:t>2</w:t>
            </w:r>
          </w:p>
        </w:tc>
        <w:tc>
          <w:tcPr>
            <w:tcW w:w="1170" w:type="dxa"/>
            <w:tcBorders>
              <w:left w:val="double" w:sz="4" w:space="0" w:color="auto"/>
            </w:tcBorders>
            <w:vAlign w:val="center"/>
          </w:tcPr>
          <w:p w14:paraId="728F169A" w14:textId="4C4E27FD" w:rsidR="00875FE6" w:rsidRPr="000B74A8" w:rsidRDefault="00875FE6" w:rsidP="000B74A8">
            <w:pPr>
              <w:spacing w:before="0" w:after="60"/>
              <w:jc w:val="center"/>
            </w:pPr>
            <w:r w:rsidRPr="000B74A8">
              <w:t>119.58</w:t>
            </w:r>
          </w:p>
        </w:tc>
        <w:tc>
          <w:tcPr>
            <w:tcW w:w="1170" w:type="dxa"/>
            <w:vAlign w:val="center"/>
          </w:tcPr>
          <w:p w14:paraId="7662F48C" w14:textId="2A028147" w:rsidR="00875FE6" w:rsidRPr="000B74A8" w:rsidRDefault="00875FE6" w:rsidP="000B74A8">
            <w:pPr>
              <w:spacing w:before="0" w:after="60"/>
              <w:jc w:val="center"/>
            </w:pPr>
            <w:r w:rsidRPr="000B74A8">
              <w:rPr>
                <w:color w:val="000000"/>
              </w:rPr>
              <w:t>29.51</w:t>
            </w:r>
          </w:p>
        </w:tc>
        <w:tc>
          <w:tcPr>
            <w:tcW w:w="1687" w:type="dxa"/>
            <w:vAlign w:val="center"/>
          </w:tcPr>
          <w:p w14:paraId="4D4CA08F" w14:textId="42A29FB5" w:rsidR="00875FE6" w:rsidRPr="000B74A8" w:rsidRDefault="00875FE6" w:rsidP="000B74A8">
            <w:pPr>
              <w:spacing w:before="0" w:after="60"/>
              <w:jc w:val="center"/>
            </w:pPr>
            <w:r w:rsidRPr="000B74A8">
              <w:rPr>
                <w:color w:val="000000"/>
              </w:rPr>
              <w:t>28.50</w:t>
            </w:r>
            <w:r w:rsidR="00951D78">
              <w:rPr>
                <w:color w:val="000000"/>
              </w:rPr>
              <w:t xml:space="preserve"> (3.44 %)</w:t>
            </w:r>
          </w:p>
        </w:tc>
        <w:tc>
          <w:tcPr>
            <w:tcW w:w="1688" w:type="dxa"/>
            <w:vAlign w:val="center"/>
          </w:tcPr>
          <w:p w14:paraId="0FB877FA" w14:textId="3FE9C645" w:rsidR="00875FE6" w:rsidRPr="000B74A8" w:rsidRDefault="00875FE6" w:rsidP="000B74A8">
            <w:pPr>
              <w:spacing w:before="0" w:after="60"/>
              <w:jc w:val="center"/>
            </w:pPr>
            <w:r w:rsidRPr="000B74A8">
              <w:rPr>
                <w:color w:val="000000"/>
              </w:rPr>
              <w:t>27.22</w:t>
            </w:r>
            <w:r w:rsidR="00951D78">
              <w:rPr>
                <w:color w:val="000000"/>
              </w:rPr>
              <w:t>(7.78 %)</w:t>
            </w:r>
          </w:p>
        </w:tc>
        <w:tc>
          <w:tcPr>
            <w:tcW w:w="1687" w:type="dxa"/>
            <w:tcBorders>
              <w:top w:val="single" w:sz="4" w:space="0" w:color="auto"/>
              <w:bottom w:val="single" w:sz="4" w:space="0" w:color="auto"/>
            </w:tcBorders>
            <w:vAlign w:val="center"/>
          </w:tcPr>
          <w:p w14:paraId="32DF661F" w14:textId="49B5A55B" w:rsidR="00875FE6" w:rsidRPr="000B74A8" w:rsidRDefault="00875FE6" w:rsidP="000B74A8">
            <w:pPr>
              <w:spacing w:before="0" w:after="60"/>
              <w:jc w:val="center"/>
            </w:pPr>
            <w:r w:rsidRPr="000B74A8">
              <w:rPr>
                <w:color w:val="000000"/>
              </w:rPr>
              <w:t>25.33</w:t>
            </w:r>
            <w:r w:rsidR="00951D78">
              <w:rPr>
                <w:color w:val="000000"/>
              </w:rPr>
              <w:t xml:space="preserve"> (14.18 %)</w:t>
            </w:r>
          </w:p>
        </w:tc>
        <w:tc>
          <w:tcPr>
            <w:tcW w:w="1688" w:type="dxa"/>
            <w:tcBorders>
              <w:top w:val="single" w:sz="4" w:space="0" w:color="auto"/>
              <w:bottom w:val="single" w:sz="4" w:space="0" w:color="auto"/>
            </w:tcBorders>
            <w:vAlign w:val="center"/>
          </w:tcPr>
          <w:p w14:paraId="3BC4880E" w14:textId="66AB3635" w:rsidR="00875FE6" w:rsidRPr="000B74A8" w:rsidRDefault="00875FE6" w:rsidP="000B74A8">
            <w:pPr>
              <w:spacing w:before="0" w:after="60"/>
              <w:jc w:val="center"/>
            </w:pPr>
            <w:r w:rsidRPr="000B74A8">
              <w:rPr>
                <w:color w:val="000000"/>
              </w:rPr>
              <w:t>25.90</w:t>
            </w:r>
            <w:r w:rsidR="00CC1B5C">
              <w:rPr>
                <w:color w:val="000000"/>
              </w:rPr>
              <w:t xml:space="preserve"> (12.26 %)</w:t>
            </w:r>
          </w:p>
        </w:tc>
      </w:tr>
      <w:tr w:rsidR="00875FE6" w:rsidRPr="00FC08FC" w14:paraId="65EFFA4B" w14:textId="437693EA" w:rsidTr="000B74A8">
        <w:trPr>
          <w:jc w:val="center"/>
        </w:trPr>
        <w:tc>
          <w:tcPr>
            <w:tcW w:w="625" w:type="dxa"/>
            <w:vMerge/>
            <w:shd w:val="clear" w:color="auto" w:fill="F2F2F2" w:themeFill="background1" w:themeFillShade="F2"/>
            <w:vAlign w:val="center"/>
          </w:tcPr>
          <w:p w14:paraId="01BEBE59" w14:textId="77777777" w:rsidR="00875FE6" w:rsidRPr="00E427A0" w:rsidRDefault="00875FE6" w:rsidP="00875FE6">
            <w:pPr>
              <w:spacing w:before="0" w:after="60"/>
              <w:jc w:val="center"/>
            </w:pPr>
          </w:p>
        </w:tc>
        <w:tc>
          <w:tcPr>
            <w:tcW w:w="630" w:type="dxa"/>
            <w:tcBorders>
              <w:right w:val="double" w:sz="4" w:space="0" w:color="auto"/>
            </w:tcBorders>
            <w:shd w:val="clear" w:color="auto" w:fill="F2F2F2" w:themeFill="background1" w:themeFillShade="F2"/>
            <w:vAlign w:val="center"/>
          </w:tcPr>
          <w:p w14:paraId="0D990851" w14:textId="77777777" w:rsidR="00875FE6" w:rsidRPr="00E427A0" w:rsidRDefault="00875FE6" w:rsidP="00875FE6">
            <w:pPr>
              <w:spacing w:before="0" w:after="60"/>
              <w:jc w:val="center"/>
            </w:pPr>
            <w:r w:rsidRPr="00E427A0">
              <w:t>4</w:t>
            </w:r>
          </w:p>
        </w:tc>
        <w:tc>
          <w:tcPr>
            <w:tcW w:w="1170" w:type="dxa"/>
            <w:tcBorders>
              <w:left w:val="double" w:sz="4" w:space="0" w:color="auto"/>
            </w:tcBorders>
            <w:vAlign w:val="center"/>
          </w:tcPr>
          <w:p w14:paraId="42E0D6CE" w14:textId="77777777" w:rsidR="00875FE6" w:rsidRPr="000B74A8" w:rsidRDefault="00875FE6" w:rsidP="000B74A8">
            <w:pPr>
              <w:spacing w:before="0" w:after="60"/>
              <w:jc w:val="center"/>
            </w:pPr>
            <w:r w:rsidRPr="000B74A8">
              <w:t>88.40</w:t>
            </w:r>
          </w:p>
        </w:tc>
        <w:tc>
          <w:tcPr>
            <w:tcW w:w="1170" w:type="dxa"/>
            <w:vAlign w:val="center"/>
          </w:tcPr>
          <w:p w14:paraId="469D8356" w14:textId="7EE67EC4" w:rsidR="00875FE6" w:rsidRPr="000B74A8" w:rsidRDefault="00875FE6" w:rsidP="000B74A8">
            <w:pPr>
              <w:spacing w:before="0" w:after="60"/>
              <w:jc w:val="center"/>
            </w:pPr>
            <w:r w:rsidRPr="000B74A8">
              <w:rPr>
                <w:color w:val="000000"/>
              </w:rPr>
              <w:t>26.90</w:t>
            </w:r>
          </w:p>
        </w:tc>
        <w:tc>
          <w:tcPr>
            <w:tcW w:w="1687" w:type="dxa"/>
            <w:vAlign w:val="center"/>
          </w:tcPr>
          <w:p w14:paraId="23C466AA" w14:textId="40D575DE" w:rsidR="00875FE6" w:rsidRPr="000B74A8" w:rsidRDefault="00875FE6" w:rsidP="000B74A8">
            <w:pPr>
              <w:spacing w:before="0" w:after="60"/>
              <w:jc w:val="center"/>
            </w:pPr>
            <w:r w:rsidRPr="000B74A8">
              <w:rPr>
                <w:color w:val="000000"/>
              </w:rPr>
              <w:t>26.34</w:t>
            </w:r>
            <w:r w:rsidR="00951D78">
              <w:rPr>
                <w:color w:val="000000"/>
              </w:rPr>
              <w:t xml:space="preserve"> (2.08 %)</w:t>
            </w:r>
          </w:p>
        </w:tc>
        <w:tc>
          <w:tcPr>
            <w:tcW w:w="1688" w:type="dxa"/>
            <w:vAlign w:val="center"/>
          </w:tcPr>
          <w:p w14:paraId="40A35B3A" w14:textId="24F8E0CF" w:rsidR="00875FE6" w:rsidRPr="000B74A8" w:rsidRDefault="00875FE6" w:rsidP="000B74A8">
            <w:pPr>
              <w:spacing w:before="0" w:after="60"/>
              <w:jc w:val="center"/>
            </w:pPr>
            <w:r w:rsidRPr="000B74A8">
              <w:rPr>
                <w:color w:val="000000"/>
              </w:rPr>
              <w:t>25.79</w:t>
            </w:r>
            <w:r w:rsidR="00951D78">
              <w:rPr>
                <w:color w:val="000000"/>
              </w:rPr>
              <w:t xml:space="preserve"> (4.11 %)</w:t>
            </w:r>
          </w:p>
        </w:tc>
        <w:tc>
          <w:tcPr>
            <w:tcW w:w="1687" w:type="dxa"/>
            <w:tcBorders>
              <w:top w:val="single" w:sz="4" w:space="0" w:color="auto"/>
              <w:bottom w:val="single" w:sz="4" w:space="0" w:color="auto"/>
            </w:tcBorders>
            <w:vAlign w:val="center"/>
          </w:tcPr>
          <w:p w14:paraId="55EFA73F" w14:textId="640325BA" w:rsidR="00875FE6" w:rsidRPr="000B74A8" w:rsidRDefault="00875FE6" w:rsidP="000B74A8">
            <w:pPr>
              <w:spacing w:before="0" w:after="60"/>
              <w:jc w:val="center"/>
            </w:pPr>
            <w:r w:rsidRPr="000B74A8">
              <w:rPr>
                <w:color w:val="000000"/>
              </w:rPr>
              <w:t>24.99</w:t>
            </w:r>
            <w:r w:rsidR="00951D78">
              <w:rPr>
                <w:color w:val="000000"/>
              </w:rPr>
              <w:t xml:space="preserve"> (7.10 %)</w:t>
            </w:r>
          </w:p>
        </w:tc>
        <w:tc>
          <w:tcPr>
            <w:tcW w:w="1688" w:type="dxa"/>
            <w:tcBorders>
              <w:top w:val="single" w:sz="4" w:space="0" w:color="auto"/>
              <w:bottom w:val="single" w:sz="4" w:space="0" w:color="auto"/>
            </w:tcBorders>
            <w:vAlign w:val="center"/>
          </w:tcPr>
          <w:p w14:paraId="371552AC" w14:textId="1D72EA8E" w:rsidR="00875FE6" w:rsidRPr="000B74A8" w:rsidRDefault="00875FE6" w:rsidP="000B74A8">
            <w:pPr>
              <w:spacing w:before="0" w:after="60"/>
              <w:jc w:val="center"/>
            </w:pPr>
            <w:r w:rsidRPr="000B74A8">
              <w:rPr>
                <w:color w:val="000000"/>
              </w:rPr>
              <w:t>24.46</w:t>
            </w:r>
            <w:r w:rsidR="00CC1B5C">
              <w:rPr>
                <w:color w:val="000000"/>
              </w:rPr>
              <w:t xml:space="preserve"> (9.06 %)</w:t>
            </w:r>
          </w:p>
        </w:tc>
      </w:tr>
    </w:tbl>
    <w:p w14:paraId="2FA03397" w14:textId="77777777" w:rsidR="00592A5A" w:rsidRDefault="00592A5A" w:rsidP="00592A5A"/>
    <w:p w14:paraId="2FE7FF13" w14:textId="7D53FFD7" w:rsidR="00592A5A" w:rsidRPr="00A60130" w:rsidRDefault="00A60130" w:rsidP="00A60130">
      <w:pPr>
        <w:pStyle w:val="Caption"/>
        <w:jc w:val="center"/>
      </w:pPr>
      <w:bookmarkStart w:id="11" w:name="_Ref54285506"/>
      <w:r>
        <w:t xml:space="preserve">Table </w:t>
      </w:r>
      <w:fldSimple w:instr=" SEQ Table \* ARABIC ">
        <w:r w:rsidR="00AD3BE1">
          <w:rPr>
            <w:noProof/>
          </w:rPr>
          <w:t>3</w:t>
        </w:r>
      </w:fldSimple>
      <w:bookmarkEnd w:id="11"/>
      <w:r w:rsidR="00592A5A" w:rsidRPr="00A60130">
        <w:t>: 5</w:t>
      </w:r>
      <w:r w:rsidR="00592A5A" w:rsidRPr="00A60130">
        <w:rPr>
          <w:vertAlign w:val="superscript"/>
        </w:rPr>
        <w:t>th</w:t>
      </w:r>
      <w:r w:rsidR="00592A5A" w:rsidRPr="00A60130">
        <w:t xml:space="preserve"> percentile power consumption (relative gain over </w:t>
      </w:r>
      <w:r w:rsidR="008958AF" w:rsidRPr="00A60130">
        <w:t>B</w:t>
      </w:r>
      <w:r w:rsidR="00592A5A" w:rsidRPr="00A60130">
        <w:t>aseline</w:t>
      </w:r>
      <w:r w:rsidR="008958AF" w:rsidRPr="00A60130">
        <w:t>-2</w:t>
      </w:r>
      <w:r w:rsidR="00592A5A" w:rsidRPr="00A60130">
        <w:t xml:space="preserve"> in parentheses)</w:t>
      </w:r>
    </w:p>
    <w:tbl>
      <w:tblPr>
        <w:tblStyle w:val="TableGrid"/>
        <w:tblW w:w="10350" w:type="dxa"/>
        <w:jc w:val="center"/>
        <w:tblLayout w:type="fixed"/>
        <w:tblLook w:val="04A0" w:firstRow="1" w:lastRow="0" w:firstColumn="1" w:lastColumn="0" w:noHBand="0" w:noVBand="1"/>
      </w:tblPr>
      <w:tblGrid>
        <w:gridCol w:w="630"/>
        <w:gridCol w:w="630"/>
        <w:gridCol w:w="1165"/>
        <w:gridCol w:w="1170"/>
        <w:gridCol w:w="1688"/>
        <w:gridCol w:w="1689"/>
        <w:gridCol w:w="1689"/>
        <w:gridCol w:w="1689"/>
      </w:tblGrid>
      <w:tr w:rsidR="00442A7D" w:rsidRPr="00FC08FC" w14:paraId="059E2950" w14:textId="42866774" w:rsidTr="000B74A8">
        <w:trPr>
          <w:jc w:val="center"/>
        </w:trPr>
        <w:tc>
          <w:tcPr>
            <w:tcW w:w="1260" w:type="dxa"/>
            <w:gridSpan w:val="2"/>
            <w:tcBorders>
              <w:bottom w:val="double" w:sz="4" w:space="0" w:color="auto"/>
              <w:right w:val="double" w:sz="4" w:space="0" w:color="auto"/>
            </w:tcBorders>
            <w:shd w:val="clear" w:color="auto" w:fill="E7E6E6" w:themeFill="background2"/>
            <w:vAlign w:val="center"/>
          </w:tcPr>
          <w:p w14:paraId="72313FDC" w14:textId="77777777" w:rsidR="00442A7D" w:rsidRPr="00E427A0" w:rsidRDefault="00442A7D" w:rsidP="002D2DD4">
            <w:pPr>
              <w:spacing w:before="0" w:after="60"/>
              <w:jc w:val="center"/>
              <w:rPr>
                <w:b/>
              </w:rPr>
            </w:pPr>
            <w:r w:rsidRPr="00E427A0">
              <w:rPr>
                <w:b/>
              </w:rPr>
              <w:t>PDCCH periodicity</w:t>
            </w:r>
          </w:p>
        </w:tc>
        <w:tc>
          <w:tcPr>
            <w:tcW w:w="1165" w:type="dxa"/>
            <w:tcBorders>
              <w:left w:val="double" w:sz="4" w:space="0" w:color="auto"/>
              <w:bottom w:val="double" w:sz="4" w:space="0" w:color="auto"/>
            </w:tcBorders>
            <w:shd w:val="clear" w:color="auto" w:fill="E7E6E6" w:themeFill="background2"/>
            <w:vAlign w:val="center"/>
          </w:tcPr>
          <w:p w14:paraId="666BD175" w14:textId="77777777" w:rsidR="00442A7D" w:rsidRPr="00E427A0" w:rsidRDefault="00442A7D" w:rsidP="002D2DD4">
            <w:pPr>
              <w:spacing w:before="0" w:after="60"/>
              <w:jc w:val="center"/>
              <w:rPr>
                <w:b/>
              </w:rPr>
            </w:pPr>
            <w:r w:rsidRPr="00E427A0">
              <w:rPr>
                <w:b/>
              </w:rPr>
              <w:t>Baseline</w:t>
            </w:r>
            <w:r>
              <w:rPr>
                <w:b/>
              </w:rPr>
              <w:t>-</w:t>
            </w:r>
            <w:r w:rsidRPr="00E427A0">
              <w:rPr>
                <w:b/>
              </w:rPr>
              <w:t>1</w:t>
            </w:r>
          </w:p>
        </w:tc>
        <w:tc>
          <w:tcPr>
            <w:tcW w:w="1170" w:type="dxa"/>
            <w:tcBorders>
              <w:bottom w:val="double" w:sz="4" w:space="0" w:color="auto"/>
            </w:tcBorders>
            <w:shd w:val="clear" w:color="auto" w:fill="E7E6E6" w:themeFill="background2"/>
            <w:vAlign w:val="center"/>
          </w:tcPr>
          <w:p w14:paraId="514F5D21" w14:textId="77777777" w:rsidR="00442A7D" w:rsidRPr="00E427A0" w:rsidRDefault="00442A7D" w:rsidP="002D2DD4">
            <w:pPr>
              <w:spacing w:before="0" w:after="60"/>
              <w:jc w:val="center"/>
              <w:rPr>
                <w:b/>
              </w:rPr>
            </w:pPr>
            <w:r w:rsidRPr="00E427A0">
              <w:rPr>
                <w:b/>
              </w:rPr>
              <w:t>Baseline</w:t>
            </w:r>
            <w:r>
              <w:rPr>
                <w:b/>
              </w:rPr>
              <w:t>-</w:t>
            </w:r>
            <w:r w:rsidRPr="00E427A0">
              <w:rPr>
                <w:b/>
              </w:rPr>
              <w:t>2</w:t>
            </w:r>
          </w:p>
        </w:tc>
        <w:tc>
          <w:tcPr>
            <w:tcW w:w="1688" w:type="dxa"/>
            <w:tcBorders>
              <w:bottom w:val="double" w:sz="4" w:space="0" w:color="auto"/>
            </w:tcBorders>
            <w:shd w:val="clear" w:color="auto" w:fill="E7E6E6" w:themeFill="background2"/>
            <w:vAlign w:val="center"/>
          </w:tcPr>
          <w:p w14:paraId="6CB49CD8" w14:textId="29B6C64B" w:rsidR="00442A7D" w:rsidRPr="00E427A0" w:rsidRDefault="00442A7D" w:rsidP="002D2DD4">
            <w:pPr>
              <w:spacing w:before="0" w:after="60"/>
              <w:jc w:val="center"/>
              <w:rPr>
                <w:b/>
              </w:rPr>
            </w:pPr>
            <w:r w:rsidRPr="00E427A0">
              <w:rPr>
                <w:b/>
              </w:rPr>
              <w:t>WUS</w:t>
            </w:r>
            <w:r w:rsidR="008958AF">
              <w:rPr>
                <w:b/>
              </w:rPr>
              <w:t>-Long</w:t>
            </w:r>
          </w:p>
        </w:tc>
        <w:tc>
          <w:tcPr>
            <w:tcW w:w="1689" w:type="dxa"/>
            <w:tcBorders>
              <w:bottom w:val="double" w:sz="4" w:space="0" w:color="auto"/>
            </w:tcBorders>
            <w:shd w:val="clear" w:color="auto" w:fill="E7E6E6" w:themeFill="background2"/>
            <w:vAlign w:val="center"/>
          </w:tcPr>
          <w:p w14:paraId="67F1ECD9" w14:textId="700F787D" w:rsidR="00442A7D" w:rsidRPr="00E427A0" w:rsidRDefault="00442A7D" w:rsidP="002D2DD4">
            <w:pPr>
              <w:spacing w:before="0" w:after="60"/>
              <w:jc w:val="center"/>
              <w:rPr>
                <w:b/>
              </w:rPr>
            </w:pPr>
            <w:r w:rsidRPr="00E427A0">
              <w:rPr>
                <w:b/>
              </w:rPr>
              <w:t>Cross-slot scheduling</w:t>
            </w:r>
          </w:p>
        </w:tc>
        <w:tc>
          <w:tcPr>
            <w:tcW w:w="1689" w:type="dxa"/>
            <w:tcBorders>
              <w:bottom w:val="double" w:sz="4" w:space="0" w:color="auto"/>
            </w:tcBorders>
            <w:shd w:val="clear" w:color="auto" w:fill="E7E6E6" w:themeFill="background2"/>
            <w:vAlign w:val="center"/>
          </w:tcPr>
          <w:p w14:paraId="47182DB4" w14:textId="1C0AB5B2" w:rsidR="00442A7D" w:rsidRPr="00E427A0" w:rsidRDefault="00442A7D" w:rsidP="002D2DD4">
            <w:pPr>
              <w:spacing w:before="0" w:after="60"/>
              <w:jc w:val="center"/>
              <w:rPr>
                <w:b/>
              </w:rPr>
            </w:pPr>
            <w:r w:rsidRPr="00E427A0">
              <w:rPr>
                <w:b/>
              </w:rPr>
              <w:t>PDCCH skip</w:t>
            </w:r>
          </w:p>
        </w:tc>
        <w:tc>
          <w:tcPr>
            <w:tcW w:w="1689" w:type="dxa"/>
            <w:tcBorders>
              <w:bottom w:val="double" w:sz="4" w:space="0" w:color="auto"/>
            </w:tcBorders>
            <w:shd w:val="clear" w:color="auto" w:fill="E7E6E6" w:themeFill="background2"/>
          </w:tcPr>
          <w:p w14:paraId="393BB5D1" w14:textId="1DAC5814" w:rsidR="00442A7D" w:rsidRPr="00E427A0" w:rsidRDefault="001818AF" w:rsidP="002D2DD4">
            <w:pPr>
              <w:spacing w:after="60"/>
              <w:jc w:val="center"/>
              <w:rPr>
                <w:b/>
              </w:rPr>
            </w:pPr>
            <w:r>
              <w:rPr>
                <w:b/>
              </w:rPr>
              <w:t>WUS</w:t>
            </w:r>
            <w:r w:rsidR="008958AF">
              <w:rPr>
                <w:b/>
              </w:rPr>
              <w:t>-Short</w:t>
            </w:r>
          </w:p>
        </w:tc>
      </w:tr>
      <w:tr w:rsidR="00251760" w:rsidRPr="00305B64" w14:paraId="3B325B7D" w14:textId="00B29EA8" w:rsidTr="000B74A8">
        <w:trPr>
          <w:jc w:val="center"/>
        </w:trPr>
        <w:tc>
          <w:tcPr>
            <w:tcW w:w="630" w:type="dxa"/>
            <w:vMerge w:val="restart"/>
            <w:tcBorders>
              <w:top w:val="double" w:sz="4" w:space="0" w:color="auto"/>
            </w:tcBorders>
            <w:shd w:val="clear" w:color="auto" w:fill="F2F2F2" w:themeFill="background1" w:themeFillShade="F2"/>
            <w:vAlign w:val="center"/>
          </w:tcPr>
          <w:p w14:paraId="1FA38A27" w14:textId="77777777" w:rsidR="00251760" w:rsidRPr="00E427A0" w:rsidRDefault="00251760" w:rsidP="00251760">
            <w:pPr>
              <w:spacing w:before="0" w:after="60"/>
              <w:jc w:val="center"/>
            </w:pPr>
            <w:r w:rsidRPr="00E427A0">
              <w:t>FR1</w:t>
            </w:r>
          </w:p>
        </w:tc>
        <w:tc>
          <w:tcPr>
            <w:tcW w:w="630" w:type="dxa"/>
            <w:tcBorders>
              <w:top w:val="double" w:sz="4" w:space="0" w:color="auto"/>
              <w:right w:val="double" w:sz="4" w:space="0" w:color="auto"/>
            </w:tcBorders>
            <w:shd w:val="clear" w:color="auto" w:fill="F2F2F2" w:themeFill="background1" w:themeFillShade="F2"/>
            <w:vAlign w:val="center"/>
          </w:tcPr>
          <w:p w14:paraId="5FF7B476" w14:textId="77777777" w:rsidR="00251760" w:rsidRPr="00E427A0" w:rsidRDefault="00251760" w:rsidP="00251760">
            <w:pPr>
              <w:spacing w:before="0" w:after="60"/>
              <w:jc w:val="center"/>
            </w:pPr>
            <w:r w:rsidRPr="00E427A0">
              <w:t>1</w:t>
            </w:r>
          </w:p>
        </w:tc>
        <w:tc>
          <w:tcPr>
            <w:tcW w:w="1165" w:type="dxa"/>
            <w:tcBorders>
              <w:top w:val="double" w:sz="4" w:space="0" w:color="auto"/>
              <w:left w:val="double" w:sz="4" w:space="0" w:color="auto"/>
            </w:tcBorders>
            <w:vAlign w:val="center"/>
          </w:tcPr>
          <w:p w14:paraId="3CD2F8D8" w14:textId="77777777" w:rsidR="00251760" w:rsidRPr="000B74A8" w:rsidRDefault="00251760" w:rsidP="000B74A8">
            <w:pPr>
              <w:spacing w:before="0" w:after="60"/>
              <w:jc w:val="center"/>
            </w:pPr>
            <w:r w:rsidRPr="000B74A8">
              <w:t>102.37</w:t>
            </w:r>
          </w:p>
        </w:tc>
        <w:tc>
          <w:tcPr>
            <w:tcW w:w="1170" w:type="dxa"/>
            <w:tcBorders>
              <w:top w:val="double" w:sz="4" w:space="0" w:color="auto"/>
            </w:tcBorders>
            <w:vAlign w:val="center"/>
          </w:tcPr>
          <w:p w14:paraId="04A1587B" w14:textId="3FAE1394" w:rsidR="00251760" w:rsidRPr="000B74A8" w:rsidRDefault="00251760" w:rsidP="000B74A8">
            <w:pPr>
              <w:spacing w:before="0" w:after="60"/>
              <w:jc w:val="center"/>
            </w:pPr>
            <w:r w:rsidRPr="000B74A8">
              <w:rPr>
                <w:color w:val="000000"/>
              </w:rPr>
              <w:t>9.99</w:t>
            </w:r>
          </w:p>
        </w:tc>
        <w:tc>
          <w:tcPr>
            <w:tcW w:w="1688" w:type="dxa"/>
            <w:tcBorders>
              <w:top w:val="double" w:sz="4" w:space="0" w:color="auto"/>
            </w:tcBorders>
            <w:vAlign w:val="center"/>
          </w:tcPr>
          <w:p w14:paraId="3CCC0A46" w14:textId="3635633E" w:rsidR="00251760" w:rsidRPr="000B74A8" w:rsidRDefault="00251760" w:rsidP="000B74A8">
            <w:pPr>
              <w:spacing w:before="0" w:after="60"/>
              <w:jc w:val="center"/>
            </w:pPr>
            <w:r w:rsidRPr="000B74A8">
              <w:rPr>
                <w:color w:val="000000"/>
              </w:rPr>
              <w:t>8.44</w:t>
            </w:r>
            <w:r w:rsidR="000A0013">
              <w:rPr>
                <w:color w:val="000000"/>
              </w:rPr>
              <w:t xml:space="preserve"> (15.45 %)</w:t>
            </w:r>
          </w:p>
        </w:tc>
        <w:tc>
          <w:tcPr>
            <w:tcW w:w="1689" w:type="dxa"/>
            <w:tcBorders>
              <w:top w:val="double" w:sz="4" w:space="0" w:color="auto"/>
            </w:tcBorders>
            <w:vAlign w:val="center"/>
          </w:tcPr>
          <w:p w14:paraId="7AB303FB" w14:textId="78B70877" w:rsidR="00251760" w:rsidRPr="000B74A8" w:rsidRDefault="00251760" w:rsidP="000B74A8">
            <w:pPr>
              <w:spacing w:before="0" w:after="60"/>
              <w:jc w:val="center"/>
            </w:pPr>
            <w:r w:rsidRPr="000B74A8">
              <w:rPr>
                <w:color w:val="000000"/>
              </w:rPr>
              <w:t>8.18</w:t>
            </w:r>
            <w:r w:rsidR="000A0013">
              <w:rPr>
                <w:color w:val="000000"/>
              </w:rPr>
              <w:t xml:space="preserve"> (18.12 %)</w:t>
            </w:r>
          </w:p>
        </w:tc>
        <w:tc>
          <w:tcPr>
            <w:tcW w:w="1689" w:type="dxa"/>
            <w:tcBorders>
              <w:top w:val="double" w:sz="4" w:space="0" w:color="auto"/>
              <w:bottom w:val="single" w:sz="4" w:space="0" w:color="auto"/>
            </w:tcBorders>
            <w:vAlign w:val="center"/>
          </w:tcPr>
          <w:p w14:paraId="40ACAB3F" w14:textId="782C51E3" w:rsidR="00251760" w:rsidRPr="000B74A8" w:rsidRDefault="00251760" w:rsidP="000B74A8">
            <w:pPr>
              <w:spacing w:before="0" w:after="60"/>
              <w:jc w:val="center"/>
            </w:pPr>
            <w:r w:rsidRPr="000B74A8">
              <w:rPr>
                <w:color w:val="000000"/>
              </w:rPr>
              <w:t>7.95</w:t>
            </w:r>
            <w:r w:rsidR="00A61B27">
              <w:rPr>
                <w:color w:val="000000"/>
              </w:rPr>
              <w:t xml:space="preserve"> (20.34 %)</w:t>
            </w:r>
          </w:p>
        </w:tc>
        <w:tc>
          <w:tcPr>
            <w:tcW w:w="1689" w:type="dxa"/>
            <w:tcBorders>
              <w:top w:val="double" w:sz="4" w:space="0" w:color="auto"/>
              <w:bottom w:val="single" w:sz="4" w:space="0" w:color="auto"/>
            </w:tcBorders>
            <w:vAlign w:val="center"/>
          </w:tcPr>
          <w:p w14:paraId="5F7D31AD" w14:textId="47B23B8A" w:rsidR="00251760" w:rsidRPr="000B74A8" w:rsidRDefault="00251760" w:rsidP="000B74A8">
            <w:pPr>
              <w:spacing w:before="0" w:after="60"/>
              <w:jc w:val="center"/>
            </w:pPr>
            <w:r w:rsidRPr="000B74A8">
              <w:rPr>
                <w:color w:val="000000"/>
              </w:rPr>
              <w:t>7.54</w:t>
            </w:r>
            <w:r w:rsidR="00C01F45">
              <w:rPr>
                <w:color w:val="000000"/>
              </w:rPr>
              <w:t xml:space="preserve"> (24.49 %)</w:t>
            </w:r>
          </w:p>
        </w:tc>
      </w:tr>
      <w:tr w:rsidR="00251760" w:rsidRPr="00305B64" w14:paraId="64ABA4D0" w14:textId="34B3DFFC" w:rsidTr="000B74A8">
        <w:trPr>
          <w:jc w:val="center"/>
        </w:trPr>
        <w:tc>
          <w:tcPr>
            <w:tcW w:w="630" w:type="dxa"/>
            <w:vMerge/>
            <w:shd w:val="clear" w:color="auto" w:fill="F2F2F2" w:themeFill="background1" w:themeFillShade="F2"/>
            <w:vAlign w:val="center"/>
          </w:tcPr>
          <w:p w14:paraId="15ECAED1" w14:textId="77777777" w:rsidR="00251760" w:rsidRPr="00E427A0" w:rsidRDefault="00251760" w:rsidP="00251760">
            <w:pPr>
              <w:spacing w:before="0" w:after="60"/>
              <w:jc w:val="center"/>
            </w:pPr>
          </w:p>
        </w:tc>
        <w:tc>
          <w:tcPr>
            <w:tcW w:w="630" w:type="dxa"/>
            <w:tcBorders>
              <w:right w:val="double" w:sz="4" w:space="0" w:color="auto"/>
            </w:tcBorders>
            <w:shd w:val="clear" w:color="auto" w:fill="F2F2F2" w:themeFill="background1" w:themeFillShade="F2"/>
            <w:vAlign w:val="center"/>
          </w:tcPr>
          <w:p w14:paraId="33FB4AB0" w14:textId="77777777" w:rsidR="00251760" w:rsidRPr="00E427A0" w:rsidRDefault="00251760" w:rsidP="00251760">
            <w:pPr>
              <w:spacing w:before="0" w:after="60"/>
              <w:jc w:val="center"/>
            </w:pPr>
            <w:r w:rsidRPr="00E427A0">
              <w:t>2</w:t>
            </w:r>
          </w:p>
        </w:tc>
        <w:tc>
          <w:tcPr>
            <w:tcW w:w="1165" w:type="dxa"/>
            <w:tcBorders>
              <w:left w:val="double" w:sz="4" w:space="0" w:color="auto"/>
            </w:tcBorders>
            <w:vAlign w:val="center"/>
          </w:tcPr>
          <w:p w14:paraId="4A6D15B5" w14:textId="77777777" w:rsidR="00251760" w:rsidRPr="000B74A8" w:rsidRDefault="00251760" w:rsidP="000B74A8">
            <w:pPr>
              <w:spacing w:before="0" w:after="60"/>
              <w:jc w:val="center"/>
            </w:pPr>
            <w:r w:rsidRPr="000B74A8">
              <w:t>75.20</w:t>
            </w:r>
          </w:p>
        </w:tc>
        <w:tc>
          <w:tcPr>
            <w:tcW w:w="1170" w:type="dxa"/>
            <w:vAlign w:val="center"/>
          </w:tcPr>
          <w:p w14:paraId="55E69D70" w14:textId="1431E6E4" w:rsidR="00251760" w:rsidRPr="000B74A8" w:rsidRDefault="00251760" w:rsidP="000B74A8">
            <w:pPr>
              <w:spacing w:before="0" w:after="60"/>
              <w:jc w:val="center"/>
            </w:pPr>
            <w:r w:rsidRPr="000B74A8">
              <w:rPr>
                <w:color w:val="000000"/>
              </w:rPr>
              <w:t>9.18</w:t>
            </w:r>
          </w:p>
        </w:tc>
        <w:tc>
          <w:tcPr>
            <w:tcW w:w="1688" w:type="dxa"/>
            <w:vAlign w:val="center"/>
          </w:tcPr>
          <w:p w14:paraId="0B32C5FB" w14:textId="384ECF88" w:rsidR="00251760" w:rsidRPr="000B74A8" w:rsidRDefault="00251760" w:rsidP="000B74A8">
            <w:pPr>
              <w:spacing w:before="0" w:after="60"/>
              <w:jc w:val="center"/>
            </w:pPr>
            <w:r w:rsidRPr="000B74A8">
              <w:rPr>
                <w:color w:val="000000"/>
              </w:rPr>
              <w:t>8.05</w:t>
            </w:r>
            <w:r w:rsidR="000A0013">
              <w:rPr>
                <w:color w:val="000000"/>
              </w:rPr>
              <w:t xml:space="preserve"> (12.35 %)</w:t>
            </w:r>
          </w:p>
        </w:tc>
        <w:tc>
          <w:tcPr>
            <w:tcW w:w="1689" w:type="dxa"/>
            <w:vAlign w:val="center"/>
          </w:tcPr>
          <w:p w14:paraId="35E1DE10" w14:textId="122E4FF6" w:rsidR="00251760" w:rsidRPr="000B74A8" w:rsidRDefault="00251760" w:rsidP="000B74A8">
            <w:pPr>
              <w:spacing w:before="0" w:after="60"/>
              <w:jc w:val="center"/>
            </w:pPr>
            <w:r w:rsidRPr="000B74A8">
              <w:rPr>
                <w:color w:val="000000"/>
              </w:rPr>
              <w:t>7.92</w:t>
            </w:r>
            <w:r w:rsidR="000A0013">
              <w:rPr>
                <w:color w:val="000000"/>
              </w:rPr>
              <w:t xml:space="preserve"> (13.76 %)</w:t>
            </w:r>
          </w:p>
        </w:tc>
        <w:tc>
          <w:tcPr>
            <w:tcW w:w="1689" w:type="dxa"/>
            <w:tcBorders>
              <w:top w:val="single" w:sz="4" w:space="0" w:color="auto"/>
              <w:bottom w:val="single" w:sz="4" w:space="0" w:color="auto"/>
            </w:tcBorders>
            <w:vAlign w:val="center"/>
          </w:tcPr>
          <w:p w14:paraId="3510E846" w14:textId="07B28D86" w:rsidR="00251760" w:rsidRPr="000B74A8" w:rsidRDefault="00251760" w:rsidP="000B74A8">
            <w:pPr>
              <w:spacing w:before="0" w:after="60"/>
              <w:jc w:val="center"/>
            </w:pPr>
            <w:r w:rsidRPr="000B74A8">
              <w:rPr>
                <w:color w:val="000000"/>
              </w:rPr>
              <w:t>7.81</w:t>
            </w:r>
            <w:r w:rsidR="00A61B27">
              <w:rPr>
                <w:color w:val="000000"/>
              </w:rPr>
              <w:t xml:space="preserve"> (14.93 %)</w:t>
            </w:r>
          </w:p>
        </w:tc>
        <w:tc>
          <w:tcPr>
            <w:tcW w:w="1689" w:type="dxa"/>
            <w:tcBorders>
              <w:top w:val="single" w:sz="4" w:space="0" w:color="auto"/>
              <w:bottom w:val="single" w:sz="4" w:space="0" w:color="auto"/>
            </w:tcBorders>
            <w:vAlign w:val="center"/>
          </w:tcPr>
          <w:p w14:paraId="73A49585" w14:textId="13943DF7" w:rsidR="00251760" w:rsidRPr="000B74A8" w:rsidRDefault="00251760" w:rsidP="000B74A8">
            <w:pPr>
              <w:spacing w:before="0" w:after="60"/>
              <w:jc w:val="center"/>
            </w:pPr>
            <w:r w:rsidRPr="000B74A8">
              <w:rPr>
                <w:color w:val="000000"/>
              </w:rPr>
              <w:t>7.37</w:t>
            </w:r>
            <w:r w:rsidR="00C01F45">
              <w:rPr>
                <w:color w:val="000000"/>
              </w:rPr>
              <w:t xml:space="preserve"> (19.70 %)</w:t>
            </w:r>
          </w:p>
        </w:tc>
      </w:tr>
      <w:tr w:rsidR="00251760" w:rsidRPr="00305B64" w14:paraId="513393DC" w14:textId="2D142801" w:rsidTr="000B74A8">
        <w:trPr>
          <w:jc w:val="center"/>
        </w:trPr>
        <w:tc>
          <w:tcPr>
            <w:tcW w:w="630" w:type="dxa"/>
            <w:vMerge w:val="restart"/>
            <w:tcBorders>
              <w:top w:val="double" w:sz="4" w:space="0" w:color="auto"/>
            </w:tcBorders>
            <w:shd w:val="clear" w:color="auto" w:fill="F2F2F2" w:themeFill="background1" w:themeFillShade="F2"/>
            <w:vAlign w:val="center"/>
          </w:tcPr>
          <w:p w14:paraId="27DEA22C" w14:textId="77777777" w:rsidR="00251760" w:rsidRPr="00E427A0" w:rsidRDefault="00251760" w:rsidP="00251760">
            <w:pPr>
              <w:spacing w:before="0" w:after="60"/>
              <w:jc w:val="center"/>
            </w:pPr>
            <w:r w:rsidRPr="00E427A0">
              <w:t>FR2</w:t>
            </w:r>
          </w:p>
        </w:tc>
        <w:tc>
          <w:tcPr>
            <w:tcW w:w="630" w:type="dxa"/>
            <w:tcBorders>
              <w:top w:val="double" w:sz="4" w:space="0" w:color="auto"/>
              <w:right w:val="double" w:sz="4" w:space="0" w:color="auto"/>
            </w:tcBorders>
            <w:shd w:val="clear" w:color="auto" w:fill="F2F2F2" w:themeFill="background1" w:themeFillShade="F2"/>
            <w:vAlign w:val="center"/>
          </w:tcPr>
          <w:p w14:paraId="230026F6" w14:textId="77777777" w:rsidR="00251760" w:rsidRPr="00E427A0" w:rsidRDefault="00251760" w:rsidP="00251760">
            <w:pPr>
              <w:spacing w:before="0" w:after="60"/>
              <w:jc w:val="center"/>
            </w:pPr>
            <w:r w:rsidRPr="00E427A0">
              <w:t>1</w:t>
            </w:r>
          </w:p>
        </w:tc>
        <w:tc>
          <w:tcPr>
            <w:tcW w:w="1165" w:type="dxa"/>
            <w:tcBorders>
              <w:top w:val="double" w:sz="4" w:space="0" w:color="auto"/>
              <w:left w:val="double" w:sz="4" w:space="0" w:color="auto"/>
            </w:tcBorders>
            <w:vAlign w:val="center"/>
          </w:tcPr>
          <w:p w14:paraId="57E36EF4" w14:textId="48F3D84E" w:rsidR="00251760" w:rsidRPr="000B74A8" w:rsidRDefault="00251760" w:rsidP="000B74A8">
            <w:pPr>
              <w:spacing w:before="0" w:after="60"/>
              <w:jc w:val="center"/>
              <w:rPr>
                <w:color w:val="000000" w:themeColor="text1"/>
              </w:rPr>
            </w:pPr>
            <w:r w:rsidRPr="000B74A8">
              <w:t>177.08</w:t>
            </w:r>
          </w:p>
        </w:tc>
        <w:tc>
          <w:tcPr>
            <w:tcW w:w="1170" w:type="dxa"/>
            <w:tcBorders>
              <w:top w:val="double" w:sz="4" w:space="0" w:color="auto"/>
            </w:tcBorders>
            <w:vAlign w:val="center"/>
          </w:tcPr>
          <w:p w14:paraId="4B245A56" w14:textId="59736F4D" w:rsidR="00251760" w:rsidRPr="000B74A8" w:rsidRDefault="00251760" w:rsidP="000B74A8">
            <w:pPr>
              <w:spacing w:before="0" w:after="60"/>
              <w:jc w:val="center"/>
            </w:pPr>
            <w:r w:rsidRPr="000B74A8">
              <w:rPr>
                <w:color w:val="000000"/>
              </w:rPr>
              <w:t>14.09</w:t>
            </w:r>
          </w:p>
        </w:tc>
        <w:tc>
          <w:tcPr>
            <w:tcW w:w="1688" w:type="dxa"/>
            <w:tcBorders>
              <w:top w:val="double" w:sz="4" w:space="0" w:color="auto"/>
            </w:tcBorders>
            <w:vAlign w:val="center"/>
          </w:tcPr>
          <w:p w14:paraId="4CAA6AF6" w14:textId="77C66BB7" w:rsidR="00251760" w:rsidRPr="000B74A8" w:rsidRDefault="00251760" w:rsidP="000B74A8">
            <w:pPr>
              <w:spacing w:before="0" w:after="60"/>
              <w:jc w:val="center"/>
              <w:rPr>
                <w:color w:val="000000" w:themeColor="text1"/>
              </w:rPr>
            </w:pPr>
            <w:r w:rsidRPr="000B74A8">
              <w:rPr>
                <w:color w:val="000000"/>
              </w:rPr>
              <w:t>12.37</w:t>
            </w:r>
            <w:r w:rsidR="000A0013">
              <w:rPr>
                <w:color w:val="000000"/>
              </w:rPr>
              <w:t xml:space="preserve"> (12.24 %)</w:t>
            </w:r>
          </w:p>
        </w:tc>
        <w:tc>
          <w:tcPr>
            <w:tcW w:w="1689" w:type="dxa"/>
            <w:tcBorders>
              <w:top w:val="double" w:sz="4" w:space="0" w:color="auto"/>
            </w:tcBorders>
            <w:vAlign w:val="center"/>
          </w:tcPr>
          <w:p w14:paraId="40D6316A" w14:textId="789706F8" w:rsidR="00251760" w:rsidRPr="000B74A8" w:rsidRDefault="00251760" w:rsidP="000B74A8">
            <w:pPr>
              <w:spacing w:before="0" w:after="60"/>
              <w:jc w:val="center"/>
            </w:pPr>
            <w:r w:rsidRPr="000B74A8">
              <w:rPr>
                <w:color w:val="000000"/>
              </w:rPr>
              <w:t>11.65</w:t>
            </w:r>
            <w:r w:rsidR="000A0013">
              <w:rPr>
                <w:color w:val="000000"/>
              </w:rPr>
              <w:t xml:space="preserve"> (17.32 %)</w:t>
            </w:r>
          </w:p>
        </w:tc>
        <w:tc>
          <w:tcPr>
            <w:tcW w:w="1689" w:type="dxa"/>
            <w:tcBorders>
              <w:top w:val="double" w:sz="4" w:space="0" w:color="auto"/>
              <w:bottom w:val="single" w:sz="4" w:space="0" w:color="auto"/>
            </w:tcBorders>
            <w:vAlign w:val="center"/>
          </w:tcPr>
          <w:p w14:paraId="7432855F" w14:textId="0B466B9B" w:rsidR="00251760" w:rsidRPr="000B74A8" w:rsidRDefault="00251760" w:rsidP="000B74A8">
            <w:pPr>
              <w:spacing w:before="0" w:after="60"/>
              <w:jc w:val="center"/>
              <w:rPr>
                <w:color w:val="000000" w:themeColor="text1"/>
              </w:rPr>
            </w:pPr>
            <w:r w:rsidRPr="000B74A8">
              <w:rPr>
                <w:color w:val="000000"/>
              </w:rPr>
              <w:t>10.60</w:t>
            </w:r>
            <w:r w:rsidR="00A61B27">
              <w:rPr>
                <w:color w:val="000000"/>
              </w:rPr>
              <w:t xml:space="preserve"> (24.81 %)</w:t>
            </w:r>
          </w:p>
        </w:tc>
        <w:tc>
          <w:tcPr>
            <w:tcW w:w="1689" w:type="dxa"/>
            <w:tcBorders>
              <w:top w:val="double" w:sz="4" w:space="0" w:color="auto"/>
              <w:bottom w:val="single" w:sz="4" w:space="0" w:color="auto"/>
            </w:tcBorders>
            <w:vAlign w:val="center"/>
          </w:tcPr>
          <w:p w14:paraId="794F81E8" w14:textId="276B5936" w:rsidR="00251760" w:rsidRPr="000B74A8" w:rsidRDefault="00251760" w:rsidP="000B74A8">
            <w:pPr>
              <w:spacing w:before="0" w:after="60"/>
              <w:jc w:val="center"/>
              <w:rPr>
                <w:color w:val="000000" w:themeColor="text1"/>
              </w:rPr>
            </w:pPr>
            <w:r w:rsidRPr="000B74A8">
              <w:rPr>
                <w:color w:val="000000"/>
              </w:rPr>
              <w:t>10.85</w:t>
            </w:r>
            <w:r w:rsidR="00C01F45">
              <w:rPr>
                <w:color w:val="000000"/>
              </w:rPr>
              <w:t xml:space="preserve"> (23.00 %)</w:t>
            </w:r>
          </w:p>
        </w:tc>
      </w:tr>
      <w:tr w:rsidR="00251760" w:rsidRPr="00305B64" w14:paraId="057994DD" w14:textId="74FAF366" w:rsidTr="000B74A8">
        <w:trPr>
          <w:jc w:val="center"/>
        </w:trPr>
        <w:tc>
          <w:tcPr>
            <w:tcW w:w="630" w:type="dxa"/>
            <w:vMerge/>
            <w:shd w:val="clear" w:color="auto" w:fill="F2F2F2" w:themeFill="background1" w:themeFillShade="F2"/>
            <w:vAlign w:val="center"/>
          </w:tcPr>
          <w:p w14:paraId="42BC2C9F" w14:textId="77777777" w:rsidR="00251760" w:rsidRPr="00E427A0" w:rsidRDefault="00251760" w:rsidP="00251760">
            <w:pPr>
              <w:spacing w:before="0" w:after="60"/>
              <w:jc w:val="center"/>
            </w:pPr>
          </w:p>
        </w:tc>
        <w:tc>
          <w:tcPr>
            <w:tcW w:w="630" w:type="dxa"/>
            <w:tcBorders>
              <w:right w:val="double" w:sz="4" w:space="0" w:color="auto"/>
            </w:tcBorders>
            <w:shd w:val="clear" w:color="auto" w:fill="F2F2F2" w:themeFill="background1" w:themeFillShade="F2"/>
            <w:vAlign w:val="center"/>
          </w:tcPr>
          <w:p w14:paraId="4808B776" w14:textId="77777777" w:rsidR="00251760" w:rsidRPr="00E427A0" w:rsidRDefault="00251760" w:rsidP="00251760">
            <w:pPr>
              <w:spacing w:before="0" w:after="60"/>
              <w:jc w:val="center"/>
            </w:pPr>
            <w:r w:rsidRPr="00E427A0">
              <w:t>2</w:t>
            </w:r>
          </w:p>
        </w:tc>
        <w:tc>
          <w:tcPr>
            <w:tcW w:w="1165" w:type="dxa"/>
            <w:tcBorders>
              <w:left w:val="double" w:sz="4" w:space="0" w:color="auto"/>
            </w:tcBorders>
            <w:vAlign w:val="center"/>
          </w:tcPr>
          <w:p w14:paraId="117312B2" w14:textId="4DBDF390" w:rsidR="00251760" w:rsidRPr="000B74A8" w:rsidRDefault="00251760" w:rsidP="000B74A8">
            <w:pPr>
              <w:spacing w:before="0" w:after="60"/>
              <w:jc w:val="center"/>
            </w:pPr>
            <w:r w:rsidRPr="000B74A8">
              <w:t>112.84</w:t>
            </w:r>
          </w:p>
        </w:tc>
        <w:tc>
          <w:tcPr>
            <w:tcW w:w="1170" w:type="dxa"/>
            <w:vAlign w:val="center"/>
          </w:tcPr>
          <w:p w14:paraId="06A0EE90" w14:textId="3C81B8D6" w:rsidR="00251760" w:rsidRPr="000B74A8" w:rsidRDefault="00251760" w:rsidP="000B74A8">
            <w:pPr>
              <w:spacing w:before="0" w:after="60"/>
              <w:jc w:val="center"/>
            </w:pPr>
            <w:r w:rsidRPr="000B74A8">
              <w:rPr>
                <w:color w:val="000000"/>
              </w:rPr>
              <w:t>12.49</w:t>
            </w:r>
          </w:p>
        </w:tc>
        <w:tc>
          <w:tcPr>
            <w:tcW w:w="1688" w:type="dxa"/>
            <w:vAlign w:val="center"/>
          </w:tcPr>
          <w:p w14:paraId="66ECD11E" w14:textId="30B22CDF" w:rsidR="00251760" w:rsidRPr="000B74A8" w:rsidRDefault="00251760" w:rsidP="000B74A8">
            <w:pPr>
              <w:spacing w:before="0" w:after="60"/>
              <w:jc w:val="center"/>
            </w:pPr>
            <w:r w:rsidRPr="000B74A8">
              <w:rPr>
                <w:color w:val="000000"/>
              </w:rPr>
              <w:t>11.60</w:t>
            </w:r>
            <w:r w:rsidR="000A0013">
              <w:rPr>
                <w:color w:val="000000"/>
              </w:rPr>
              <w:t xml:space="preserve"> (7.15 %)</w:t>
            </w:r>
          </w:p>
        </w:tc>
        <w:tc>
          <w:tcPr>
            <w:tcW w:w="1689" w:type="dxa"/>
            <w:vAlign w:val="center"/>
          </w:tcPr>
          <w:p w14:paraId="261F5EB1" w14:textId="7305D335" w:rsidR="00251760" w:rsidRPr="000B74A8" w:rsidRDefault="00251760" w:rsidP="000B74A8">
            <w:pPr>
              <w:spacing w:before="0" w:after="60"/>
              <w:jc w:val="center"/>
            </w:pPr>
            <w:r w:rsidRPr="000B74A8">
              <w:rPr>
                <w:color w:val="000000"/>
              </w:rPr>
              <w:t>11.13</w:t>
            </w:r>
            <w:r w:rsidR="00A61B27">
              <w:rPr>
                <w:color w:val="000000"/>
              </w:rPr>
              <w:t xml:space="preserve"> (10.93 %)</w:t>
            </w:r>
          </w:p>
        </w:tc>
        <w:tc>
          <w:tcPr>
            <w:tcW w:w="1689" w:type="dxa"/>
            <w:tcBorders>
              <w:top w:val="single" w:sz="4" w:space="0" w:color="auto"/>
              <w:bottom w:val="single" w:sz="4" w:space="0" w:color="auto"/>
            </w:tcBorders>
            <w:vAlign w:val="center"/>
          </w:tcPr>
          <w:p w14:paraId="1C806A45" w14:textId="31277BCA" w:rsidR="00251760" w:rsidRPr="000B74A8" w:rsidRDefault="00251760" w:rsidP="000B74A8">
            <w:pPr>
              <w:spacing w:before="0" w:after="60"/>
              <w:jc w:val="center"/>
            </w:pPr>
            <w:r w:rsidRPr="000B74A8">
              <w:rPr>
                <w:color w:val="000000"/>
              </w:rPr>
              <w:t>10.43</w:t>
            </w:r>
            <w:r w:rsidR="00A61B27">
              <w:rPr>
                <w:color w:val="000000"/>
              </w:rPr>
              <w:t xml:space="preserve"> (16.51 %)</w:t>
            </w:r>
          </w:p>
        </w:tc>
        <w:tc>
          <w:tcPr>
            <w:tcW w:w="1689" w:type="dxa"/>
            <w:tcBorders>
              <w:top w:val="single" w:sz="4" w:space="0" w:color="auto"/>
              <w:bottom w:val="single" w:sz="4" w:space="0" w:color="auto"/>
            </w:tcBorders>
            <w:vAlign w:val="center"/>
          </w:tcPr>
          <w:p w14:paraId="5A5875CE" w14:textId="1BEFDB1A" w:rsidR="00251760" w:rsidRPr="000B74A8" w:rsidRDefault="00251760" w:rsidP="000B74A8">
            <w:pPr>
              <w:spacing w:before="0" w:after="60"/>
              <w:jc w:val="center"/>
            </w:pPr>
            <w:r w:rsidRPr="000B74A8">
              <w:rPr>
                <w:color w:val="000000"/>
              </w:rPr>
              <w:t>10.42</w:t>
            </w:r>
            <w:r w:rsidR="00C01F45">
              <w:rPr>
                <w:color w:val="000000"/>
              </w:rPr>
              <w:t xml:space="preserve"> (16.59 %)</w:t>
            </w:r>
          </w:p>
        </w:tc>
      </w:tr>
      <w:tr w:rsidR="00251760" w:rsidRPr="00305B64" w14:paraId="2FAC1367" w14:textId="1953D919" w:rsidTr="000B74A8">
        <w:trPr>
          <w:jc w:val="center"/>
        </w:trPr>
        <w:tc>
          <w:tcPr>
            <w:tcW w:w="630" w:type="dxa"/>
            <w:vMerge/>
            <w:shd w:val="clear" w:color="auto" w:fill="F2F2F2" w:themeFill="background1" w:themeFillShade="F2"/>
            <w:vAlign w:val="center"/>
          </w:tcPr>
          <w:p w14:paraId="245093D1" w14:textId="77777777" w:rsidR="00251760" w:rsidRPr="00E427A0" w:rsidRDefault="00251760" w:rsidP="00251760">
            <w:pPr>
              <w:spacing w:before="0" w:after="60"/>
              <w:jc w:val="center"/>
            </w:pPr>
          </w:p>
        </w:tc>
        <w:tc>
          <w:tcPr>
            <w:tcW w:w="630" w:type="dxa"/>
            <w:tcBorders>
              <w:right w:val="double" w:sz="4" w:space="0" w:color="auto"/>
            </w:tcBorders>
            <w:shd w:val="clear" w:color="auto" w:fill="F2F2F2" w:themeFill="background1" w:themeFillShade="F2"/>
            <w:vAlign w:val="center"/>
          </w:tcPr>
          <w:p w14:paraId="42436EE0" w14:textId="77777777" w:rsidR="00251760" w:rsidRPr="00E427A0" w:rsidRDefault="00251760" w:rsidP="00251760">
            <w:pPr>
              <w:spacing w:before="0" w:after="60"/>
              <w:jc w:val="center"/>
            </w:pPr>
            <w:r w:rsidRPr="00E427A0">
              <w:t>4</w:t>
            </w:r>
          </w:p>
        </w:tc>
        <w:tc>
          <w:tcPr>
            <w:tcW w:w="1165" w:type="dxa"/>
            <w:tcBorders>
              <w:left w:val="double" w:sz="4" w:space="0" w:color="auto"/>
            </w:tcBorders>
            <w:vAlign w:val="center"/>
          </w:tcPr>
          <w:p w14:paraId="300158D3" w14:textId="77777777" w:rsidR="00251760" w:rsidRPr="000B74A8" w:rsidRDefault="00251760" w:rsidP="000B74A8">
            <w:pPr>
              <w:spacing w:before="0" w:after="60"/>
              <w:jc w:val="center"/>
            </w:pPr>
            <w:r w:rsidRPr="000B74A8">
              <w:t>80.72</w:t>
            </w:r>
          </w:p>
        </w:tc>
        <w:tc>
          <w:tcPr>
            <w:tcW w:w="1170" w:type="dxa"/>
            <w:vAlign w:val="center"/>
          </w:tcPr>
          <w:p w14:paraId="3EB95B23" w14:textId="579CB7BE" w:rsidR="00251760" w:rsidRPr="000B74A8" w:rsidRDefault="00251760" w:rsidP="000B74A8">
            <w:pPr>
              <w:spacing w:before="0" w:after="60"/>
              <w:jc w:val="center"/>
            </w:pPr>
            <w:r w:rsidRPr="000B74A8">
              <w:rPr>
                <w:color w:val="000000"/>
              </w:rPr>
              <w:t>11.41</w:t>
            </w:r>
          </w:p>
        </w:tc>
        <w:tc>
          <w:tcPr>
            <w:tcW w:w="1688" w:type="dxa"/>
            <w:vAlign w:val="center"/>
          </w:tcPr>
          <w:p w14:paraId="67EA284D" w14:textId="7A358509" w:rsidR="00251760" w:rsidRPr="000B74A8" w:rsidRDefault="00251760" w:rsidP="000B74A8">
            <w:pPr>
              <w:spacing w:before="0" w:after="60"/>
              <w:jc w:val="center"/>
            </w:pPr>
            <w:r w:rsidRPr="000B74A8">
              <w:rPr>
                <w:color w:val="000000"/>
              </w:rPr>
              <w:t>10.88</w:t>
            </w:r>
            <w:r w:rsidR="000A0013">
              <w:rPr>
                <w:color w:val="000000"/>
              </w:rPr>
              <w:t xml:space="preserve"> (4.62 %)</w:t>
            </w:r>
          </w:p>
        </w:tc>
        <w:tc>
          <w:tcPr>
            <w:tcW w:w="1689" w:type="dxa"/>
            <w:vAlign w:val="center"/>
          </w:tcPr>
          <w:p w14:paraId="1D1902F8" w14:textId="452B738E" w:rsidR="00251760" w:rsidRPr="000B74A8" w:rsidRDefault="00251760" w:rsidP="000B74A8">
            <w:pPr>
              <w:spacing w:before="0" w:after="60"/>
              <w:jc w:val="center"/>
            </w:pPr>
            <w:r w:rsidRPr="000B74A8">
              <w:rPr>
                <w:color w:val="000000"/>
              </w:rPr>
              <w:t>10.65</w:t>
            </w:r>
            <w:r w:rsidR="00A61B27">
              <w:rPr>
                <w:color w:val="000000"/>
              </w:rPr>
              <w:t xml:space="preserve"> (6.63 %)</w:t>
            </w:r>
          </w:p>
        </w:tc>
        <w:tc>
          <w:tcPr>
            <w:tcW w:w="1689" w:type="dxa"/>
            <w:tcBorders>
              <w:top w:val="single" w:sz="4" w:space="0" w:color="auto"/>
              <w:bottom w:val="single" w:sz="4" w:space="0" w:color="auto"/>
            </w:tcBorders>
            <w:vAlign w:val="center"/>
          </w:tcPr>
          <w:p w14:paraId="63939445" w14:textId="5080AB02" w:rsidR="00251760" w:rsidRPr="000B74A8" w:rsidRDefault="00251760" w:rsidP="000B74A8">
            <w:pPr>
              <w:spacing w:before="0" w:after="60"/>
              <w:jc w:val="center"/>
            </w:pPr>
            <w:r w:rsidRPr="000B74A8">
              <w:rPr>
                <w:color w:val="000000"/>
              </w:rPr>
              <w:t>10.31</w:t>
            </w:r>
            <w:r w:rsidR="0025625A">
              <w:rPr>
                <w:color w:val="000000"/>
              </w:rPr>
              <w:t xml:space="preserve"> (9.61 %)</w:t>
            </w:r>
          </w:p>
        </w:tc>
        <w:tc>
          <w:tcPr>
            <w:tcW w:w="1689" w:type="dxa"/>
            <w:tcBorders>
              <w:top w:val="single" w:sz="4" w:space="0" w:color="auto"/>
              <w:bottom w:val="single" w:sz="4" w:space="0" w:color="auto"/>
            </w:tcBorders>
            <w:vAlign w:val="center"/>
          </w:tcPr>
          <w:p w14:paraId="40BC49BB" w14:textId="4DF6CB8D" w:rsidR="00251760" w:rsidRPr="000B74A8" w:rsidRDefault="00251760" w:rsidP="000B74A8">
            <w:pPr>
              <w:spacing w:before="0" w:after="60"/>
              <w:jc w:val="center"/>
            </w:pPr>
            <w:r w:rsidRPr="000B74A8">
              <w:rPr>
                <w:color w:val="000000"/>
              </w:rPr>
              <w:t>10.02</w:t>
            </w:r>
            <w:r w:rsidR="00C01F45">
              <w:rPr>
                <w:color w:val="000000"/>
              </w:rPr>
              <w:t xml:space="preserve"> (12.22 %)</w:t>
            </w:r>
          </w:p>
        </w:tc>
      </w:tr>
    </w:tbl>
    <w:p w14:paraId="2612D3A2" w14:textId="77777777" w:rsidR="00EA152D" w:rsidRPr="00EA152D" w:rsidRDefault="00EA152D" w:rsidP="00EA152D"/>
    <w:p w14:paraId="7DE3C344" w14:textId="6C3A9666" w:rsidR="00E41CDE" w:rsidRDefault="00E7612F" w:rsidP="00E7612F">
      <w:pPr>
        <w:spacing w:before="120"/>
      </w:pPr>
      <w:r w:rsidRPr="00313428">
        <w:t xml:space="preserve">From the results in the above tables, the </w:t>
      </w:r>
      <w:r w:rsidR="004A40F9">
        <w:t xml:space="preserve">additional </w:t>
      </w:r>
      <w:r w:rsidRPr="00313428">
        <w:t xml:space="preserve">power saving </w:t>
      </w:r>
      <w:r w:rsidR="004A40F9">
        <w:t xml:space="preserve">gain </w:t>
      </w:r>
      <w:r w:rsidRPr="00313428">
        <w:t xml:space="preserve">of </w:t>
      </w:r>
      <w:r w:rsidR="00FE2F23">
        <w:t>the scheduling DCI-based PDCCH skip indication</w:t>
      </w:r>
      <w:r w:rsidR="004A40F9">
        <w:t xml:space="preserve">, on top of Rel-15 and Rel-16 power saving schemes, </w:t>
      </w:r>
      <w:r w:rsidR="0004137E">
        <w:t xml:space="preserve">is evident. </w:t>
      </w:r>
      <w:r w:rsidRPr="00313428">
        <w:t xml:space="preserve">With PDCCH periodicity of 1 slot, the </w:t>
      </w:r>
      <w:r w:rsidR="0004137E">
        <w:t xml:space="preserve">average </w:t>
      </w:r>
      <w:r w:rsidRPr="00313428">
        <w:t xml:space="preserve">power saving </w:t>
      </w:r>
      <w:r w:rsidR="0004137E">
        <w:t>gain</w:t>
      </w:r>
      <w:r w:rsidR="004F0012">
        <w:t>s</w:t>
      </w:r>
      <w:r w:rsidR="0004137E">
        <w:t xml:space="preserve"> </w:t>
      </w:r>
      <w:r>
        <w:t xml:space="preserve">of </w:t>
      </w:r>
      <w:r w:rsidR="0004137E">
        <w:t xml:space="preserve">PDCCH skip relative to Baseline-2 </w:t>
      </w:r>
      <w:r w:rsidR="004F0012">
        <w:t>are</w:t>
      </w:r>
      <w:r>
        <w:t xml:space="preserve"> </w:t>
      </w:r>
      <w:r w:rsidR="0004137E">
        <w:t>12.5</w:t>
      </w:r>
      <w:r>
        <w:t>% for FR1 and 2</w:t>
      </w:r>
      <w:r w:rsidR="0004137E">
        <w:t>2</w:t>
      </w:r>
      <w:r>
        <w:t>.</w:t>
      </w:r>
      <w:r w:rsidR="0004137E">
        <w:t>5</w:t>
      </w:r>
      <w:r>
        <w:t>% for FR2</w:t>
      </w:r>
      <w:r w:rsidR="00E41CDE">
        <w:t>. Thus, the added gain</w:t>
      </w:r>
      <w:r w:rsidR="004F0012">
        <w:t>s</w:t>
      </w:r>
      <w:r w:rsidR="00E41CDE">
        <w:t xml:space="preserve"> on top </w:t>
      </w:r>
      <w:r w:rsidR="004F0012">
        <w:t xml:space="preserve">of Rel-16 power saving schemes (i.e., WUS and cross-slot scheduling adaptation) are </w:t>
      </w:r>
      <w:r w:rsidR="00E41CDE">
        <w:t xml:space="preserve">2.3% and </w:t>
      </w:r>
      <w:r w:rsidR="004F0012">
        <w:t>10.8% for FR1 and FR2, respectively. Normally, the gain of PDCCH skip is more pronounced in FR2 due to the higher PDCCH processing power than FR1, and the gain diminishes with increasing PDCCH periodicity since the portion of PDCCH monitoring power consumption reduces.</w:t>
      </w:r>
      <w:r w:rsidR="0051550E">
        <w:t xml:space="preserve"> It is also noteworthy that</w:t>
      </w:r>
      <w:r w:rsidR="000F4650">
        <w:t xml:space="preserve">, depending on </w:t>
      </w:r>
      <w:r w:rsidR="00A16CE7">
        <w:t>situations,</w:t>
      </w:r>
      <w:r w:rsidR="0051550E">
        <w:t xml:space="preserve"> WUS for both Long and Short DRX cycles </w:t>
      </w:r>
      <w:r w:rsidR="00095DA0">
        <w:t xml:space="preserve">can also </w:t>
      </w:r>
      <w:r w:rsidR="00067D98">
        <w:t>provide</w:t>
      </w:r>
      <w:r w:rsidR="00095DA0">
        <w:t xml:space="preserve"> similar or higher gains </w:t>
      </w:r>
      <w:r w:rsidR="000F4650">
        <w:t>compared to PDCCH skip.</w:t>
      </w:r>
    </w:p>
    <w:p w14:paraId="37CE400F" w14:textId="7EDC1509" w:rsidR="00EA27DB" w:rsidRDefault="000307BB" w:rsidP="000307BB">
      <w:pPr>
        <w:rPr>
          <w:lang w:val="en-GB"/>
        </w:rPr>
      </w:pPr>
      <w:r>
        <w:rPr>
          <w:lang w:val="en-GB"/>
        </w:rPr>
        <w:t>In</w:t>
      </w:r>
      <w:r w:rsidR="00EA27DB">
        <w:rPr>
          <w:lang w:val="en-GB"/>
        </w:rPr>
        <w:t xml:space="preserve"> </w:t>
      </w:r>
      <w:r w:rsidR="00EA27DB">
        <w:rPr>
          <w:lang w:val="en-GB"/>
        </w:rPr>
        <w:fldChar w:fldCharType="begin"/>
      </w:r>
      <w:r w:rsidR="00EA27DB">
        <w:rPr>
          <w:lang w:val="en-GB"/>
        </w:rPr>
        <w:instrText xml:space="preserve"> REF _Ref54382112 \h </w:instrText>
      </w:r>
      <w:r w:rsidR="00EA27DB">
        <w:rPr>
          <w:lang w:val="en-GB"/>
        </w:rPr>
      </w:r>
      <w:r w:rsidR="00EA27DB">
        <w:rPr>
          <w:lang w:val="en-GB"/>
        </w:rPr>
        <w:fldChar w:fldCharType="separate"/>
      </w:r>
      <w:r w:rsidR="00AD3BE1">
        <w:t xml:space="preserve">Table </w:t>
      </w:r>
      <w:r w:rsidR="00AD3BE1">
        <w:rPr>
          <w:noProof/>
        </w:rPr>
        <w:t>4</w:t>
      </w:r>
      <w:r w:rsidR="00EA27DB">
        <w:rPr>
          <w:lang w:val="en-GB"/>
        </w:rPr>
        <w:fldChar w:fldCharType="end"/>
      </w:r>
      <w:r w:rsidR="00EA27DB">
        <w:rPr>
          <w:lang w:val="en-GB"/>
        </w:rPr>
        <w:t xml:space="preserve">, </w:t>
      </w:r>
      <w:r w:rsidR="00EA27DB">
        <w:rPr>
          <w:lang w:val="en-GB"/>
        </w:rPr>
        <w:fldChar w:fldCharType="begin"/>
      </w:r>
      <w:r w:rsidR="00EA27DB">
        <w:rPr>
          <w:lang w:val="en-GB"/>
        </w:rPr>
        <w:instrText xml:space="preserve"> REF _Ref54382114 \h </w:instrText>
      </w:r>
      <w:r w:rsidR="00EA27DB">
        <w:rPr>
          <w:lang w:val="en-GB"/>
        </w:rPr>
      </w:r>
      <w:r w:rsidR="00EA27DB">
        <w:rPr>
          <w:lang w:val="en-GB"/>
        </w:rPr>
        <w:fldChar w:fldCharType="separate"/>
      </w:r>
      <w:r w:rsidR="00AD3BE1" w:rsidRPr="00A60130">
        <w:t xml:space="preserve">Table </w:t>
      </w:r>
      <w:r w:rsidR="00AD3BE1">
        <w:rPr>
          <w:noProof/>
        </w:rPr>
        <w:t>5</w:t>
      </w:r>
      <w:r w:rsidR="00EA27DB">
        <w:rPr>
          <w:lang w:val="en-GB"/>
        </w:rPr>
        <w:fldChar w:fldCharType="end"/>
      </w:r>
      <w:r w:rsidR="00EA27DB">
        <w:rPr>
          <w:lang w:val="en-GB"/>
        </w:rPr>
        <w:t xml:space="preserve">, and </w:t>
      </w:r>
      <w:r w:rsidR="00EA27DB">
        <w:rPr>
          <w:lang w:val="en-GB"/>
        </w:rPr>
        <w:fldChar w:fldCharType="begin"/>
      </w:r>
      <w:r w:rsidR="00EA27DB">
        <w:rPr>
          <w:lang w:val="en-GB"/>
        </w:rPr>
        <w:instrText xml:space="preserve"> REF _Ref54382116 \h </w:instrText>
      </w:r>
      <w:r w:rsidR="00EA27DB">
        <w:rPr>
          <w:lang w:val="en-GB"/>
        </w:rPr>
      </w:r>
      <w:r w:rsidR="00EA27DB">
        <w:rPr>
          <w:lang w:val="en-GB"/>
        </w:rPr>
        <w:fldChar w:fldCharType="separate"/>
      </w:r>
      <w:r w:rsidR="00AD3BE1">
        <w:t xml:space="preserve">Table </w:t>
      </w:r>
      <w:r w:rsidR="00AD3BE1">
        <w:rPr>
          <w:noProof/>
        </w:rPr>
        <w:t>6</w:t>
      </w:r>
      <w:r w:rsidR="00EA27DB">
        <w:rPr>
          <w:lang w:val="en-GB"/>
        </w:rPr>
        <w:fldChar w:fldCharType="end"/>
      </w:r>
      <w:r w:rsidR="00EA27DB">
        <w:rPr>
          <w:lang w:val="en-GB"/>
        </w:rPr>
        <w:t xml:space="preserve"> below</w:t>
      </w:r>
      <w:r>
        <w:rPr>
          <w:lang w:val="en-GB"/>
        </w:rPr>
        <w:t xml:space="preserve">, </w:t>
      </w:r>
      <w:r w:rsidR="00EA27DB">
        <w:rPr>
          <w:lang w:val="en-GB"/>
        </w:rPr>
        <w:t xml:space="preserve">the same evaluation is repeated </w:t>
      </w:r>
      <w:r w:rsidR="000B684D">
        <w:rPr>
          <w:lang w:val="en-GB"/>
        </w:rPr>
        <w:t xml:space="preserve">assuming DRX configuration </w:t>
      </w:r>
      <w:r w:rsidR="00552699">
        <w:rPr>
          <w:lang w:val="en-GB"/>
        </w:rPr>
        <w:t xml:space="preserve">with the </w:t>
      </w:r>
      <w:r w:rsidR="000B684D">
        <w:rPr>
          <w:lang w:val="en-GB"/>
        </w:rPr>
        <w:t>Long</w:t>
      </w:r>
      <w:r w:rsidR="00552699">
        <w:rPr>
          <w:lang w:val="en-GB"/>
        </w:rPr>
        <w:t>-</w:t>
      </w:r>
      <w:r w:rsidR="000B684D">
        <w:rPr>
          <w:lang w:val="en-GB"/>
        </w:rPr>
        <w:t xml:space="preserve">cycle only. </w:t>
      </w:r>
      <w:r w:rsidR="009525C9">
        <w:rPr>
          <w:lang w:val="en-GB"/>
        </w:rPr>
        <w:t xml:space="preserve">It is observed that, by </w:t>
      </w:r>
      <w:r w:rsidR="00B33DD2">
        <w:rPr>
          <w:lang w:val="en-GB"/>
        </w:rPr>
        <w:t>not requiring to wake up</w:t>
      </w:r>
      <w:r w:rsidR="009525C9">
        <w:rPr>
          <w:lang w:val="en-GB"/>
        </w:rPr>
        <w:t xml:space="preserve"> for Short DRX cycles, the overall power consumption is reduced</w:t>
      </w:r>
      <w:r w:rsidR="00D03BC0">
        <w:rPr>
          <w:lang w:val="en-GB"/>
        </w:rPr>
        <w:t>, by up to 13% for FR1 and 27% for FR2</w:t>
      </w:r>
      <w:r w:rsidR="00552699">
        <w:rPr>
          <w:lang w:val="en-GB"/>
        </w:rPr>
        <w:t xml:space="preserve"> (at the expense of the latency increase)</w:t>
      </w:r>
      <w:r w:rsidR="00F1423D">
        <w:rPr>
          <w:lang w:val="en-GB"/>
        </w:rPr>
        <w:t>.</w:t>
      </w:r>
      <w:r w:rsidR="00AC3C68">
        <w:rPr>
          <w:lang w:val="en-GB"/>
        </w:rPr>
        <w:t xml:space="preserve"> </w:t>
      </w:r>
      <w:r w:rsidR="0090613A">
        <w:rPr>
          <w:lang w:val="en-GB"/>
        </w:rPr>
        <w:t xml:space="preserve">In this case, the added gains of PDCCH skipping on top of Rel-16 power saving schemes </w:t>
      </w:r>
      <w:r w:rsidR="00AD3BE1">
        <w:rPr>
          <w:lang w:val="en-GB"/>
        </w:rPr>
        <w:t>amount to</w:t>
      </w:r>
      <w:r w:rsidR="0090613A">
        <w:rPr>
          <w:lang w:val="en-GB"/>
        </w:rPr>
        <w:t xml:space="preserve"> 1.</w:t>
      </w:r>
      <w:r w:rsidR="00757447">
        <w:rPr>
          <w:lang w:val="en-GB"/>
        </w:rPr>
        <w:t>2%</w:t>
      </w:r>
      <w:r w:rsidR="0090613A">
        <w:rPr>
          <w:lang w:val="en-GB"/>
        </w:rPr>
        <w:t xml:space="preserve"> to </w:t>
      </w:r>
      <w:r w:rsidR="00757447">
        <w:rPr>
          <w:lang w:val="en-GB"/>
        </w:rPr>
        <w:t>9.0% for FR1 and FR2, respectively.</w:t>
      </w:r>
    </w:p>
    <w:p w14:paraId="7D1BBF11" w14:textId="77777777" w:rsidR="00757447" w:rsidRDefault="00757447" w:rsidP="000307BB">
      <w:pPr>
        <w:rPr>
          <w:lang w:val="en-GB"/>
        </w:rPr>
      </w:pPr>
    </w:p>
    <w:p w14:paraId="6826C7B5" w14:textId="13052D28" w:rsidR="002D2DD4" w:rsidRPr="00313428" w:rsidRDefault="002D2DD4" w:rsidP="002D2DD4">
      <w:pPr>
        <w:pStyle w:val="Caption"/>
        <w:jc w:val="center"/>
      </w:pPr>
      <w:bookmarkStart w:id="12" w:name="_Ref54382112"/>
      <w:r>
        <w:t xml:space="preserve">Table </w:t>
      </w:r>
      <w:fldSimple w:instr=" SEQ Table \* ARABIC ">
        <w:r w:rsidR="00AD3BE1">
          <w:rPr>
            <w:noProof/>
          </w:rPr>
          <w:t>4</w:t>
        </w:r>
      </w:fldSimple>
      <w:bookmarkEnd w:id="12"/>
      <w:r w:rsidRPr="00B529D8">
        <w:t>: Average power consumption</w:t>
      </w:r>
      <w:r>
        <w:t xml:space="preserve"> (</w:t>
      </w:r>
      <w:r w:rsidR="000307BB">
        <w:t xml:space="preserve">Long DRX only, </w:t>
      </w:r>
      <w:r>
        <w:t>relative gain over Baseline-2 in parentheses)</w:t>
      </w:r>
    </w:p>
    <w:tbl>
      <w:tblPr>
        <w:tblStyle w:val="TableGrid"/>
        <w:tblW w:w="8657" w:type="dxa"/>
        <w:jc w:val="center"/>
        <w:tblLayout w:type="fixed"/>
        <w:tblLook w:val="04A0" w:firstRow="1" w:lastRow="0" w:firstColumn="1" w:lastColumn="0" w:noHBand="0" w:noVBand="1"/>
      </w:tblPr>
      <w:tblGrid>
        <w:gridCol w:w="625"/>
        <w:gridCol w:w="630"/>
        <w:gridCol w:w="1170"/>
        <w:gridCol w:w="1170"/>
        <w:gridCol w:w="1687"/>
        <w:gridCol w:w="1688"/>
        <w:gridCol w:w="1687"/>
      </w:tblGrid>
      <w:tr w:rsidR="002D2DD4" w:rsidRPr="00FC08FC" w14:paraId="57409C0A" w14:textId="77777777" w:rsidTr="002D2DD4">
        <w:trPr>
          <w:jc w:val="center"/>
        </w:trPr>
        <w:tc>
          <w:tcPr>
            <w:tcW w:w="1255" w:type="dxa"/>
            <w:gridSpan w:val="2"/>
            <w:tcBorders>
              <w:bottom w:val="double" w:sz="4" w:space="0" w:color="auto"/>
              <w:right w:val="double" w:sz="4" w:space="0" w:color="auto"/>
            </w:tcBorders>
            <w:shd w:val="clear" w:color="auto" w:fill="E7E6E6" w:themeFill="background2"/>
            <w:vAlign w:val="center"/>
          </w:tcPr>
          <w:p w14:paraId="32C86B68" w14:textId="77777777" w:rsidR="002D2DD4" w:rsidRPr="00F6763C" w:rsidRDefault="002D2DD4" w:rsidP="002D2DD4">
            <w:pPr>
              <w:spacing w:before="0" w:after="60"/>
              <w:jc w:val="center"/>
              <w:rPr>
                <w:b/>
              </w:rPr>
            </w:pPr>
            <w:r w:rsidRPr="00F6763C">
              <w:rPr>
                <w:b/>
              </w:rPr>
              <w:t>PDCCH periodicity</w:t>
            </w:r>
          </w:p>
        </w:tc>
        <w:tc>
          <w:tcPr>
            <w:tcW w:w="1170" w:type="dxa"/>
            <w:tcBorders>
              <w:left w:val="double" w:sz="4" w:space="0" w:color="auto"/>
              <w:bottom w:val="double" w:sz="4" w:space="0" w:color="auto"/>
            </w:tcBorders>
            <w:shd w:val="clear" w:color="auto" w:fill="E7E6E6" w:themeFill="background2"/>
            <w:vAlign w:val="center"/>
          </w:tcPr>
          <w:p w14:paraId="4DCD49E6" w14:textId="77777777" w:rsidR="002D2DD4" w:rsidRPr="00F6763C" w:rsidRDefault="002D2DD4" w:rsidP="002D2DD4">
            <w:pPr>
              <w:spacing w:before="0" w:after="60"/>
              <w:jc w:val="center"/>
              <w:rPr>
                <w:b/>
              </w:rPr>
            </w:pPr>
            <w:r w:rsidRPr="00F6763C">
              <w:rPr>
                <w:b/>
              </w:rPr>
              <w:t>Baseline</w:t>
            </w:r>
            <w:r>
              <w:rPr>
                <w:b/>
              </w:rPr>
              <w:t>-1</w:t>
            </w:r>
          </w:p>
        </w:tc>
        <w:tc>
          <w:tcPr>
            <w:tcW w:w="1170" w:type="dxa"/>
            <w:tcBorders>
              <w:bottom w:val="double" w:sz="4" w:space="0" w:color="auto"/>
            </w:tcBorders>
            <w:shd w:val="clear" w:color="auto" w:fill="E7E6E6" w:themeFill="background2"/>
            <w:vAlign w:val="center"/>
          </w:tcPr>
          <w:p w14:paraId="5798E394" w14:textId="37BB2DB5" w:rsidR="000307BB" w:rsidRPr="00F6763C" w:rsidRDefault="002D2DD4" w:rsidP="000307BB">
            <w:pPr>
              <w:spacing w:before="0" w:after="60"/>
              <w:jc w:val="center"/>
              <w:rPr>
                <w:b/>
              </w:rPr>
            </w:pPr>
            <w:r>
              <w:rPr>
                <w:b/>
              </w:rPr>
              <w:t>Baseline-2</w:t>
            </w:r>
          </w:p>
        </w:tc>
        <w:tc>
          <w:tcPr>
            <w:tcW w:w="1687" w:type="dxa"/>
            <w:tcBorders>
              <w:bottom w:val="double" w:sz="4" w:space="0" w:color="auto"/>
            </w:tcBorders>
            <w:shd w:val="clear" w:color="auto" w:fill="E7E6E6" w:themeFill="background2"/>
            <w:vAlign w:val="center"/>
          </w:tcPr>
          <w:p w14:paraId="1F5F9B9B" w14:textId="77777777" w:rsidR="002D2DD4" w:rsidRPr="00F6763C" w:rsidRDefault="002D2DD4" w:rsidP="002D2DD4">
            <w:pPr>
              <w:spacing w:before="0" w:after="60"/>
              <w:jc w:val="center"/>
              <w:rPr>
                <w:b/>
              </w:rPr>
            </w:pPr>
            <w:r w:rsidRPr="00F6763C">
              <w:rPr>
                <w:b/>
              </w:rPr>
              <w:t>WUS</w:t>
            </w:r>
            <w:r>
              <w:rPr>
                <w:b/>
              </w:rPr>
              <w:t>-Long</w:t>
            </w:r>
          </w:p>
        </w:tc>
        <w:tc>
          <w:tcPr>
            <w:tcW w:w="1688" w:type="dxa"/>
            <w:tcBorders>
              <w:bottom w:val="double" w:sz="4" w:space="0" w:color="auto"/>
            </w:tcBorders>
            <w:shd w:val="clear" w:color="auto" w:fill="E7E6E6" w:themeFill="background2"/>
            <w:vAlign w:val="center"/>
          </w:tcPr>
          <w:p w14:paraId="31E13FEF" w14:textId="77777777" w:rsidR="002D2DD4" w:rsidRPr="00F6763C" w:rsidRDefault="002D2DD4" w:rsidP="002D2DD4">
            <w:pPr>
              <w:spacing w:before="0" w:after="60"/>
              <w:jc w:val="center"/>
              <w:rPr>
                <w:b/>
              </w:rPr>
            </w:pPr>
            <w:r>
              <w:rPr>
                <w:b/>
              </w:rPr>
              <w:t>Cross-slot scheduling</w:t>
            </w:r>
          </w:p>
        </w:tc>
        <w:tc>
          <w:tcPr>
            <w:tcW w:w="1687" w:type="dxa"/>
            <w:tcBorders>
              <w:bottom w:val="double" w:sz="4" w:space="0" w:color="auto"/>
            </w:tcBorders>
            <w:shd w:val="clear" w:color="auto" w:fill="E7E6E6" w:themeFill="background2"/>
            <w:vAlign w:val="center"/>
          </w:tcPr>
          <w:p w14:paraId="295E7743" w14:textId="77777777" w:rsidR="002D2DD4" w:rsidRPr="00F6763C" w:rsidRDefault="002D2DD4" w:rsidP="002D2DD4">
            <w:pPr>
              <w:spacing w:before="0" w:after="60"/>
              <w:jc w:val="center"/>
              <w:rPr>
                <w:b/>
              </w:rPr>
            </w:pPr>
            <w:r w:rsidRPr="00F6763C">
              <w:rPr>
                <w:b/>
              </w:rPr>
              <w:t>PDCCH skip</w:t>
            </w:r>
          </w:p>
        </w:tc>
      </w:tr>
      <w:tr w:rsidR="000369BF" w:rsidRPr="00FC08FC" w14:paraId="687B3FCB" w14:textId="77777777" w:rsidTr="000307BB">
        <w:trPr>
          <w:jc w:val="center"/>
        </w:trPr>
        <w:tc>
          <w:tcPr>
            <w:tcW w:w="625" w:type="dxa"/>
            <w:vMerge w:val="restart"/>
            <w:tcBorders>
              <w:top w:val="double" w:sz="4" w:space="0" w:color="auto"/>
            </w:tcBorders>
            <w:shd w:val="clear" w:color="auto" w:fill="F2F2F2" w:themeFill="background1" w:themeFillShade="F2"/>
            <w:vAlign w:val="center"/>
          </w:tcPr>
          <w:p w14:paraId="64AF234B" w14:textId="77777777" w:rsidR="000369BF" w:rsidRPr="00F6763C" w:rsidRDefault="000369BF" w:rsidP="000369BF">
            <w:pPr>
              <w:spacing w:before="0" w:after="60"/>
              <w:jc w:val="center"/>
            </w:pPr>
            <w:r w:rsidRPr="00F6763C">
              <w:t>FR1</w:t>
            </w:r>
          </w:p>
        </w:tc>
        <w:tc>
          <w:tcPr>
            <w:tcW w:w="630" w:type="dxa"/>
            <w:tcBorders>
              <w:top w:val="double" w:sz="4" w:space="0" w:color="auto"/>
              <w:right w:val="double" w:sz="4" w:space="0" w:color="auto"/>
            </w:tcBorders>
            <w:shd w:val="clear" w:color="auto" w:fill="F2F2F2" w:themeFill="background1" w:themeFillShade="F2"/>
            <w:vAlign w:val="center"/>
          </w:tcPr>
          <w:p w14:paraId="2DE9D129" w14:textId="77777777" w:rsidR="000369BF" w:rsidRPr="00F6763C" w:rsidRDefault="000369BF" w:rsidP="000369BF">
            <w:pPr>
              <w:spacing w:before="0" w:after="60"/>
              <w:jc w:val="center"/>
            </w:pPr>
            <w:r w:rsidRPr="00F6763C">
              <w:t>1</w:t>
            </w:r>
          </w:p>
        </w:tc>
        <w:tc>
          <w:tcPr>
            <w:tcW w:w="1170" w:type="dxa"/>
            <w:tcBorders>
              <w:top w:val="double" w:sz="4" w:space="0" w:color="auto"/>
              <w:left w:val="double" w:sz="4" w:space="0" w:color="auto"/>
            </w:tcBorders>
            <w:vAlign w:val="center"/>
          </w:tcPr>
          <w:p w14:paraId="7E09CE5C" w14:textId="77777777" w:rsidR="000369BF" w:rsidRPr="000B74A8" w:rsidRDefault="000369BF" w:rsidP="000369BF">
            <w:pPr>
              <w:spacing w:before="0" w:after="60"/>
              <w:jc w:val="center"/>
            </w:pPr>
            <w:r w:rsidRPr="000B74A8">
              <w:t>110.37</w:t>
            </w:r>
          </w:p>
        </w:tc>
        <w:tc>
          <w:tcPr>
            <w:tcW w:w="1170" w:type="dxa"/>
            <w:tcBorders>
              <w:top w:val="double" w:sz="4" w:space="0" w:color="auto"/>
            </w:tcBorders>
            <w:vAlign w:val="center"/>
          </w:tcPr>
          <w:p w14:paraId="593E8FAA" w14:textId="223D50B5" w:rsidR="000369BF" w:rsidRPr="000307BB" w:rsidRDefault="000369BF" w:rsidP="000307BB">
            <w:pPr>
              <w:spacing w:before="0" w:after="60"/>
              <w:jc w:val="center"/>
            </w:pPr>
            <w:r w:rsidRPr="000307BB">
              <w:rPr>
                <w:color w:val="000000"/>
              </w:rPr>
              <w:t>23.68</w:t>
            </w:r>
          </w:p>
        </w:tc>
        <w:tc>
          <w:tcPr>
            <w:tcW w:w="1687" w:type="dxa"/>
            <w:tcBorders>
              <w:top w:val="double" w:sz="4" w:space="0" w:color="auto"/>
            </w:tcBorders>
            <w:vAlign w:val="center"/>
          </w:tcPr>
          <w:p w14:paraId="501A4A7E" w14:textId="1E8D6FAF" w:rsidR="000369BF" w:rsidRPr="000307BB" w:rsidRDefault="000369BF" w:rsidP="000307BB">
            <w:pPr>
              <w:spacing w:before="0" w:after="60"/>
              <w:jc w:val="center"/>
            </w:pPr>
            <w:r w:rsidRPr="000307BB">
              <w:rPr>
                <w:color w:val="000000"/>
              </w:rPr>
              <w:t>20.41</w:t>
            </w:r>
            <w:r w:rsidR="00C06822" w:rsidRPr="000307BB">
              <w:rPr>
                <w:color w:val="000000"/>
              </w:rPr>
              <w:t xml:space="preserve"> (</w:t>
            </w:r>
            <w:r w:rsidR="00A10BD6" w:rsidRPr="000307BB">
              <w:rPr>
                <w:color w:val="000000"/>
              </w:rPr>
              <w:t>13.79 %)</w:t>
            </w:r>
          </w:p>
        </w:tc>
        <w:tc>
          <w:tcPr>
            <w:tcW w:w="1688" w:type="dxa"/>
            <w:tcBorders>
              <w:top w:val="double" w:sz="4" w:space="0" w:color="auto"/>
            </w:tcBorders>
            <w:vAlign w:val="center"/>
          </w:tcPr>
          <w:p w14:paraId="1BA8A688" w14:textId="04444D3C" w:rsidR="000369BF" w:rsidRPr="000307BB" w:rsidRDefault="000369BF" w:rsidP="000307BB">
            <w:pPr>
              <w:spacing w:before="0" w:after="60"/>
              <w:jc w:val="center"/>
            </w:pPr>
            <w:r w:rsidRPr="000307BB">
              <w:rPr>
                <w:color w:val="000000"/>
              </w:rPr>
              <w:t>20.07</w:t>
            </w:r>
            <w:r w:rsidR="00A10BD6" w:rsidRPr="000307BB">
              <w:rPr>
                <w:color w:val="000000"/>
              </w:rPr>
              <w:t xml:space="preserve"> (15.22 %)</w:t>
            </w:r>
          </w:p>
        </w:tc>
        <w:tc>
          <w:tcPr>
            <w:tcW w:w="1687" w:type="dxa"/>
            <w:tcBorders>
              <w:top w:val="double" w:sz="4" w:space="0" w:color="auto"/>
              <w:bottom w:val="single" w:sz="4" w:space="0" w:color="auto"/>
            </w:tcBorders>
            <w:vAlign w:val="center"/>
          </w:tcPr>
          <w:p w14:paraId="30097252" w14:textId="1FC2ECA3" w:rsidR="000369BF" w:rsidRPr="000307BB" w:rsidRDefault="000369BF" w:rsidP="000307BB">
            <w:pPr>
              <w:spacing w:before="0" w:after="60"/>
              <w:jc w:val="center"/>
            </w:pPr>
            <w:r w:rsidRPr="000307BB">
              <w:rPr>
                <w:color w:val="000000"/>
              </w:rPr>
              <w:t>19.79</w:t>
            </w:r>
            <w:r w:rsidR="00517AD4" w:rsidRPr="000307BB">
              <w:rPr>
                <w:color w:val="000000"/>
              </w:rPr>
              <w:t xml:space="preserve"> (16.42 %)</w:t>
            </w:r>
          </w:p>
        </w:tc>
      </w:tr>
      <w:tr w:rsidR="000369BF" w:rsidRPr="00FC08FC" w14:paraId="6CD31175" w14:textId="77777777" w:rsidTr="000307BB">
        <w:trPr>
          <w:jc w:val="center"/>
        </w:trPr>
        <w:tc>
          <w:tcPr>
            <w:tcW w:w="625" w:type="dxa"/>
            <w:vMerge/>
            <w:shd w:val="clear" w:color="auto" w:fill="F2F2F2" w:themeFill="background1" w:themeFillShade="F2"/>
            <w:vAlign w:val="center"/>
          </w:tcPr>
          <w:p w14:paraId="5B4B43DC" w14:textId="77777777" w:rsidR="000369BF" w:rsidRPr="00F6763C" w:rsidRDefault="000369BF" w:rsidP="000369BF">
            <w:pPr>
              <w:spacing w:before="0" w:after="60"/>
              <w:jc w:val="center"/>
            </w:pPr>
          </w:p>
        </w:tc>
        <w:tc>
          <w:tcPr>
            <w:tcW w:w="630" w:type="dxa"/>
            <w:tcBorders>
              <w:right w:val="double" w:sz="4" w:space="0" w:color="auto"/>
            </w:tcBorders>
            <w:shd w:val="clear" w:color="auto" w:fill="F2F2F2" w:themeFill="background1" w:themeFillShade="F2"/>
            <w:vAlign w:val="center"/>
          </w:tcPr>
          <w:p w14:paraId="71772516" w14:textId="77777777" w:rsidR="000369BF" w:rsidRPr="00F6763C" w:rsidRDefault="000369BF" w:rsidP="000369BF">
            <w:pPr>
              <w:spacing w:before="0" w:after="60"/>
              <w:jc w:val="center"/>
            </w:pPr>
            <w:r w:rsidRPr="00F6763C">
              <w:t>2</w:t>
            </w:r>
          </w:p>
        </w:tc>
        <w:tc>
          <w:tcPr>
            <w:tcW w:w="1170" w:type="dxa"/>
            <w:tcBorders>
              <w:left w:val="double" w:sz="4" w:space="0" w:color="auto"/>
            </w:tcBorders>
            <w:vAlign w:val="center"/>
          </w:tcPr>
          <w:p w14:paraId="02D6B8DA" w14:textId="77777777" w:rsidR="000369BF" w:rsidRPr="000B74A8" w:rsidRDefault="000369BF" w:rsidP="000369BF">
            <w:pPr>
              <w:spacing w:before="0" w:after="60"/>
              <w:jc w:val="center"/>
            </w:pPr>
            <w:r w:rsidRPr="000B74A8">
              <w:t>84.29</w:t>
            </w:r>
          </w:p>
        </w:tc>
        <w:tc>
          <w:tcPr>
            <w:tcW w:w="1170" w:type="dxa"/>
            <w:vAlign w:val="center"/>
          </w:tcPr>
          <w:p w14:paraId="027E406A" w14:textId="3B043E39" w:rsidR="000369BF" w:rsidRPr="000307BB" w:rsidRDefault="000369BF" w:rsidP="000307BB">
            <w:pPr>
              <w:spacing w:before="0" w:after="60"/>
              <w:jc w:val="center"/>
            </w:pPr>
            <w:r w:rsidRPr="000307BB">
              <w:rPr>
                <w:color w:val="000000"/>
              </w:rPr>
              <w:t>22.16</w:t>
            </w:r>
          </w:p>
        </w:tc>
        <w:tc>
          <w:tcPr>
            <w:tcW w:w="1687" w:type="dxa"/>
            <w:vAlign w:val="center"/>
          </w:tcPr>
          <w:p w14:paraId="4079E559" w14:textId="1920B1AE" w:rsidR="000369BF" w:rsidRPr="000307BB" w:rsidRDefault="000369BF" w:rsidP="000307BB">
            <w:pPr>
              <w:spacing w:before="0" w:after="60"/>
              <w:jc w:val="center"/>
            </w:pPr>
            <w:r w:rsidRPr="000307BB">
              <w:rPr>
                <w:color w:val="000000"/>
              </w:rPr>
              <w:t>19.50</w:t>
            </w:r>
            <w:r w:rsidR="00A10BD6" w:rsidRPr="000307BB">
              <w:rPr>
                <w:color w:val="000000"/>
              </w:rPr>
              <w:t xml:space="preserve"> (11.98 %)</w:t>
            </w:r>
          </w:p>
        </w:tc>
        <w:tc>
          <w:tcPr>
            <w:tcW w:w="1688" w:type="dxa"/>
            <w:vAlign w:val="center"/>
          </w:tcPr>
          <w:p w14:paraId="1F6052B5" w14:textId="6A429651" w:rsidR="000369BF" w:rsidRPr="000307BB" w:rsidRDefault="000369BF" w:rsidP="000307BB">
            <w:pPr>
              <w:spacing w:before="0" w:after="60"/>
              <w:jc w:val="center"/>
            </w:pPr>
            <w:r w:rsidRPr="000307BB">
              <w:rPr>
                <w:color w:val="000000"/>
              </w:rPr>
              <w:t>19.36</w:t>
            </w:r>
            <w:r w:rsidR="00A10BD6" w:rsidRPr="000307BB">
              <w:rPr>
                <w:color w:val="000000"/>
              </w:rPr>
              <w:t xml:space="preserve"> (12.62 %)</w:t>
            </w:r>
          </w:p>
        </w:tc>
        <w:tc>
          <w:tcPr>
            <w:tcW w:w="1687" w:type="dxa"/>
            <w:tcBorders>
              <w:top w:val="single" w:sz="4" w:space="0" w:color="auto"/>
              <w:bottom w:val="single" w:sz="4" w:space="0" w:color="auto"/>
            </w:tcBorders>
            <w:vAlign w:val="center"/>
          </w:tcPr>
          <w:p w14:paraId="4D51B19C" w14:textId="17887233" w:rsidR="000369BF" w:rsidRPr="000307BB" w:rsidRDefault="000369BF" w:rsidP="000307BB">
            <w:pPr>
              <w:spacing w:before="0" w:after="60"/>
              <w:jc w:val="center"/>
            </w:pPr>
            <w:r w:rsidRPr="000307BB">
              <w:rPr>
                <w:color w:val="000000"/>
              </w:rPr>
              <w:t>19.25</w:t>
            </w:r>
            <w:r w:rsidR="00517AD4" w:rsidRPr="000307BB">
              <w:rPr>
                <w:color w:val="000000"/>
              </w:rPr>
              <w:t xml:space="preserve"> (13.15 %)</w:t>
            </w:r>
          </w:p>
        </w:tc>
      </w:tr>
      <w:tr w:rsidR="000369BF" w:rsidRPr="00FC08FC" w14:paraId="237AA3AC" w14:textId="77777777" w:rsidTr="000307BB">
        <w:trPr>
          <w:jc w:val="center"/>
        </w:trPr>
        <w:tc>
          <w:tcPr>
            <w:tcW w:w="625" w:type="dxa"/>
            <w:vMerge w:val="restart"/>
            <w:tcBorders>
              <w:top w:val="double" w:sz="4" w:space="0" w:color="auto"/>
            </w:tcBorders>
            <w:shd w:val="clear" w:color="auto" w:fill="F2F2F2" w:themeFill="background1" w:themeFillShade="F2"/>
            <w:vAlign w:val="center"/>
          </w:tcPr>
          <w:p w14:paraId="78519CE7" w14:textId="77777777" w:rsidR="000369BF" w:rsidRPr="00F6763C" w:rsidRDefault="000369BF" w:rsidP="000369BF">
            <w:pPr>
              <w:spacing w:before="0" w:after="60"/>
              <w:jc w:val="center"/>
            </w:pPr>
            <w:r w:rsidRPr="00F6763C">
              <w:t>FR2</w:t>
            </w:r>
          </w:p>
        </w:tc>
        <w:tc>
          <w:tcPr>
            <w:tcW w:w="630" w:type="dxa"/>
            <w:tcBorders>
              <w:top w:val="double" w:sz="4" w:space="0" w:color="auto"/>
              <w:right w:val="double" w:sz="4" w:space="0" w:color="auto"/>
            </w:tcBorders>
            <w:shd w:val="clear" w:color="auto" w:fill="F2F2F2" w:themeFill="background1" w:themeFillShade="F2"/>
            <w:vAlign w:val="center"/>
          </w:tcPr>
          <w:p w14:paraId="6DFD3D3B" w14:textId="77777777" w:rsidR="000369BF" w:rsidRPr="00F6763C" w:rsidRDefault="000369BF" w:rsidP="000369BF">
            <w:pPr>
              <w:spacing w:before="0" w:after="60"/>
              <w:jc w:val="center"/>
            </w:pPr>
            <w:r w:rsidRPr="00F6763C">
              <w:t>1</w:t>
            </w:r>
          </w:p>
        </w:tc>
        <w:tc>
          <w:tcPr>
            <w:tcW w:w="1170" w:type="dxa"/>
            <w:tcBorders>
              <w:top w:val="double" w:sz="4" w:space="0" w:color="auto"/>
              <w:left w:val="double" w:sz="4" w:space="0" w:color="auto"/>
            </w:tcBorders>
            <w:vAlign w:val="center"/>
          </w:tcPr>
          <w:p w14:paraId="2722EF41" w14:textId="77777777" w:rsidR="000369BF" w:rsidRPr="000B74A8" w:rsidRDefault="000369BF" w:rsidP="000369BF">
            <w:pPr>
              <w:spacing w:before="0" w:after="60"/>
              <w:jc w:val="center"/>
              <w:rPr>
                <w:color w:val="000000" w:themeColor="text1"/>
              </w:rPr>
            </w:pPr>
            <w:r w:rsidRPr="000B74A8">
              <w:t>184.07</w:t>
            </w:r>
          </w:p>
        </w:tc>
        <w:tc>
          <w:tcPr>
            <w:tcW w:w="1170" w:type="dxa"/>
            <w:tcBorders>
              <w:top w:val="double" w:sz="4" w:space="0" w:color="auto"/>
            </w:tcBorders>
            <w:vAlign w:val="center"/>
          </w:tcPr>
          <w:p w14:paraId="02415CF8" w14:textId="57F3D8E0" w:rsidR="000369BF" w:rsidRPr="000307BB" w:rsidRDefault="000369BF" w:rsidP="000307BB">
            <w:pPr>
              <w:spacing w:before="0" w:after="60"/>
              <w:jc w:val="center"/>
            </w:pPr>
            <w:r w:rsidRPr="000307BB">
              <w:rPr>
                <w:color w:val="000000"/>
              </w:rPr>
              <w:t>27.48</w:t>
            </w:r>
          </w:p>
        </w:tc>
        <w:tc>
          <w:tcPr>
            <w:tcW w:w="1687" w:type="dxa"/>
            <w:tcBorders>
              <w:top w:val="double" w:sz="4" w:space="0" w:color="auto"/>
            </w:tcBorders>
            <w:vAlign w:val="center"/>
          </w:tcPr>
          <w:p w14:paraId="20984D18" w14:textId="2B1F02E1" w:rsidR="000369BF" w:rsidRPr="000307BB" w:rsidRDefault="000369BF" w:rsidP="000307BB">
            <w:pPr>
              <w:spacing w:before="0" w:after="60"/>
              <w:jc w:val="center"/>
              <w:rPr>
                <w:color w:val="000000" w:themeColor="text1"/>
              </w:rPr>
            </w:pPr>
            <w:r w:rsidRPr="000307BB">
              <w:rPr>
                <w:color w:val="000000"/>
              </w:rPr>
              <w:t>25.11</w:t>
            </w:r>
            <w:r w:rsidR="00A10BD6" w:rsidRPr="000307BB">
              <w:rPr>
                <w:color w:val="000000"/>
              </w:rPr>
              <w:t xml:space="preserve"> (8.61 %)</w:t>
            </w:r>
          </w:p>
        </w:tc>
        <w:tc>
          <w:tcPr>
            <w:tcW w:w="1688" w:type="dxa"/>
            <w:tcBorders>
              <w:top w:val="double" w:sz="4" w:space="0" w:color="auto"/>
            </w:tcBorders>
            <w:vAlign w:val="center"/>
          </w:tcPr>
          <w:p w14:paraId="0DD251A3" w14:textId="7B71DDE1" w:rsidR="000369BF" w:rsidRPr="000307BB" w:rsidRDefault="000369BF" w:rsidP="000307BB">
            <w:pPr>
              <w:spacing w:before="0" w:after="60"/>
              <w:jc w:val="center"/>
            </w:pPr>
            <w:r w:rsidRPr="000307BB">
              <w:rPr>
                <w:color w:val="000000"/>
              </w:rPr>
              <w:t>23.44</w:t>
            </w:r>
            <w:r w:rsidR="00A10BD6" w:rsidRPr="000307BB">
              <w:rPr>
                <w:color w:val="000000"/>
              </w:rPr>
              <w:t xml:space="preserve"> </w:t>
            </w:r>
            <w:r w:rsidR="003151AD" w:rsidRPr="000307BB">
              <w:rPr>
                <w:color w:val="000000"/>
              </w:rPr>
              <w:t>(14.69 %)</w:t>
            </w:r>
          </w:p>
        </w:tc>
        <w:tc>
          <w:tcPr>
            <w:tcW w:w="1687" w:type="dxa"/>
            <w:tcBorders>
              <w:top w:val="double" w:sz="4" w:space="0" w:color="auto"/>
              <w:bottom w:val="single" w:sz="4" w:space="0" w:color="auto"/>
            </w:tcBorders>
            <w:vAlign w:val="center"/>
          </w:tcPr>
          <w:p w14:paraId="5892A25F" w14:textId="4D63BE91" w:rsidR="000369BF" w:rsidRPr="000307BB" w:rsidRDefault="000369BF" w:rsidP="000307BB">
            <w:pPr>
              <w:spacing w:before="0" w:after="60"/>
              <w:jc w:val="center"/>
              <w:rPr>
                <w:color w:val="000000" w:themeColor="text1"/>
              </w:rPr>
            </w:pPr>
            <w:r w:rsidRPr="000307BB">
              <w:rPr>
                <w:color w:val="000000"/>
              </w:rPr>
              <w:t>20.97</w:t>
            </w:r>
            <w:r w:rsidR="00517AD4" w:rsidRPr="000307BB">
              <w:rPr>
                <w:color w:val="000000"/>
              </w:rPr>
              <w:t xml:space="preserve"> (23.67 %)</w:t>
            </w:r>
          </w:p>
        </w:tc>
      </w:tr>
      <w:tr w:rsidR="000369BF" w:rsidRPr="00FC08FC" w14:paraId="1C8B7664" w14:textId="77777777" w:rsidTr="000307BB">
        <w:trPr>
          <w:jc w:val="center"/>
        </w:trPr>
        <w:tc>
          <w:tcPr>
            <w:tcW w:w="625" w:type="dxa"/>
            <w:vMerge/>
            <w:shd w:val="clear" w:color="auto" w:fill="F2F2F2" w:themeFill="background1" w:themeFillShade="F2"/>
            <w:vAlign w:val="center"/>
          </w:tcPr>
          <w:p w14:paraId="32E5C006" w14:textId="77777777" w:rsidR="000369BF" w:rsidRPr="00F6763C" w:rsidRDefault="000369BF" w:rsidP="000369BF">
            <w:pPr>
              <w:spacing w:before="0" w:after="60"/>
              <w:jc w:val="center"/>
            </w:pPr>
          </w:p>
        </w:tc>
        <w:tc>
          <w:tcPr>
            <w:tcW w:w="630" w:type="dxa"/>
            <w:tcBorders>
              <w:right w:val="double" w:sz="4" w:space="0" w:color="auto"/>
            </w:tcBorders>
            <w:shd w:val="clear" w:color="auto" w:fill="F2F2F2" w:themeFill="background1" w:themeFillShade="F2"/>
            <w:vAlign w:val="center"/>
          </w:tcPr>
          <w:p w14:paraId="3304650C" w14:textId="77777777" w:rsidR="000369BF" w:rsidRPr="00F6763C" w:rsidRDefault="000369BF" w:rsidP="000369BF">
            <w:pPr>
              <w:spacing w:before="0" w:after="60"/>
              <w:jc w:val="center"/>
            </w:pPr>
            <w:r w:rsidRPr="00F6763C">
              <w:t>2</w:t>
            </w:r>
          </w:p>
        </w:tc>
        <w:tc>
          <w:tcPr>
            <w:tcW w:w="1170" w:type="dxa"/>
            <w:tcBorders>
              <w:left w:val="double" w:sz="4" w:space="0" w:color="auto"/>
            </w:tcBorders>
            <w:vAlign w:val="center"/>
          </w:tcPr>
          <w:p w14:paraId="4AA5400C" w14:textId="77777777" w:rsidR="000369BF" w:rsidRPr="000B74A8" w:rsidRDefault="000369BF" w:rsidP="000369BF">
            <w:pPr>
              <w:spacing w:before="0" w:after="60"/>
              <w:jc w:val="center"/>
            </w:pPr>
            <w:r w:rsidRPr="000B74A8">
              <w:t>122.44</w:t>
            </w:r>
          </w:p>
        </w:tc>
        <w:tc>
          <w:tcPr>
            <w:tcW w:w="1170" w:type="dxa"/>
            <w:vAlign w:val="center"/>
          </w:tcPr>
          <w:p w14:paraId="4096D929" w14:textId="1F19201E" w:rsidR="000369BF" w:rsidRPr="000307BB" w:rsidRDefault="000369BF" w:rsidP="000307BB">
            <w:pPr>
              <w:spacing w:before="0" w:after="60"/>
              <w:jc w:val="center"/>
            </w:pPr>
            <w:r w:rsidRPr="000307BB">
              <w:rPr>
                <w:color w:val="000000"/>
              </w:rPr>
              <w:t>23.90</w:t>
            </w:r>
          </w:p>
        </w:tc>
        <w:tc>
          <w:tcPr>
            <w:tcW w:w="1687" w:type="dxa"/>
            <w:vAlign w:val="center"/>
          </w:tcPr>
          <w:p w14:paraId="7615DAB3" w14:textId="1CA1E071" w:rsidR="000369BF" w:rsidRPr="000307BB" w:rsidRDefault="000369BF" w:rsidP="000307BB">
            <w:pPr>
              <w:spacing w:before="0" w:after="60"/>
              <w:jc w:val="center"/>
            </w:pPr>
            <w:r w:rsidRPr="000307BB">
              <w:rPr>
                <w:color w:val="000000"/>
              </w:rPr>
              <w:t>22.13</w:t>
            </w:r>
            <w:r w:rsidR="00A10BD6" w:rsidRPr="000307BB">
              <w:rPr>
                <w:color w:val="000000"/>
              </w:rPr>
              <w:t xml:space="preserve"> (7.43 %)</w:t>
            </w:r>
          </w:p>
        </w:tc>
        <w:tc>
          <w:tcPr>
            <w:tcW w:w="1688" w:type="dxa"/>
            <w:vAlign w:val="center"/>
          </w:tcPr>
          <w:p w14:paraId="3F73F8F1" w14:textId="32FDB8BE" w:rsidR="000369BF" w:rsidRPr="000307BB" w:rsidRDefault="000369BF" w:rsidP="000307BB">
            <w:pPr>
              <w:spacing w:before="0" w:after="60"/>
              <w:jc w:val="center"/>
            </w:pPr>
            <w:r w:rsidRPr="000307BB">
              <w:rPr>
                <w:color w:val="000000"/>
              </w:rPr>
              <w:t>21.42</w:t>
            </w:r>
            <w:r w:rsidR="003151AD" w:rsidRPr="000307BB">
              <w:rPr>
                <w:color w:val="000000"/>
              </w:rPr>
              <w:t xml:space="preserve"> (10.39 %)</w:t>
            </w:r>
          </w:p>
        </w:tc>
        <w:tc>
          <w:tcPr>
            <w:tcW w:w="1687" w:type="dxa"/>
            <w:tcBorders>
              <w:top w:val="single" w:sz="4" w:space="0" w:color="auto"/>
              <w:bottom w:val="single" w:sz="4" w:space="0" w:color="auto"/>
            </w:tcBorders>
            <w:vAlign w:val="center"/>
          </w:tcPr>
          <w:p w14:paraId="5F220F63" w14:textId="51DFF742" w:rsidR="000369BF" w:rsidRPr="000307BB" w:rsidRDefault="000369BF" w:rsidP="000307BB">
            <w:pPr>
              <w:spacing w:before="0" w:after="60"/>
              <w:jc w:val="center"/>
            </w:pPr>
            <w:r w:rsidRPr="000307BB">
              <w:rPr>
                <w:color w:val="000000"/>
              </w:rPr>
              <w:t>20.38</w:t>
            </w:r>
            <w:r w:rsidR="00517AD4" w:rsidRPr="000307BB">
              <w:rPr>
                <w:color w:val="000000"/>
              </w:rPr>
              <w:t xml:space="preserve"> (14.76 %)</w:t>
            </w:r>
          </w:p>
        </w:tc>
      </w:tr>
      <w:tr w:rsidR="000369BF" w:rsidRPr="00FC08FC" w14:paraId="41E9BE9E" w14:textId="77777777" w:rsidTr="000307BB">
        <w:trPr>
          <w:jc w:val="center"/>
        </w:trPr>
        <w:tc>
          <w:tcPr>
            <w:tcW w:w="625" w:type="dxa"/>
            <w:vMerge/>
            <w:shd w:val="clear" w:color="auto" w:fill="F2F2F2" w:themeFill="background1" w:themeFillShade="F2"/>
            <w:vAlign w:val="center"/>
          </w:tcPr>
          <w:p w14:paraId="2D49A88E" w14:textId="77777777" w:rsidR="000369BF" w:rsidRPr="00F6763C" w:rsidRDefault="000369BF" w:rsidP="000369BF">
            <w:pPr>
              <w:spacing w:before="0" w:after="60"/>
              <w:jc w:val="center"/>
            </w:pPr>
          </w:p>
        </w:tc>
        <w:tc>
          <w:tcPr>
            <w:tcW w:w="630" w:type="dxa"/>
            <w:tcBorders>
              <w:right w:val="double" w:sz="4" w:space="0" w:color="auto"/>
            </w:tcBorders>
            <w:shd w:val="clear" w:color="auto" w:fill="F2F2F2" w:themeFill="background1" w:themeFillShade="F2"/>
            <w:vAlign w:val="center"/>
          </w:tcPr>
          <w:p w14:paraId="7DD41B56" w14:textId="77777777" w:rsidR="000369BF" w:rsidRPr="00F6763C" w:rsidRDefault="000369BF" w:rsidP="000369BF">
            <w:pPr>
              <w:spacing w:before="0" w:after="60"/>
              <w:jc w:val="center"/>
            </w:pPr>
            <w:r w:rsidRPr="00F6763C">
              <w:t>4</w:t>
            </w:r>
          </w:p>
        </w:tc>
        <w:tc>
          <w:tcPr>
            <w:tcW w:w="1170" w:type="dxa"/>
            <w:tcBorders>
              <w:left w:val="double" w:sz="4" w:space="0" w:color="auto"/>
            </w:tcBorders>
            <w:vAlign w:val="center"/>
          </w:tcPr>
          <w:p w14:paraId="4D29A495" w14:textId="77777777" w:rsidR="000369BF" w:rsidRPr="000B74A8" w:rsidRDefault="000369BF" w:rsidP="000369BF">
            <w:pPr>
              <w:spacing w:before="0" w:after="60"/>
              <w:jc w:val="center"/>
            </w:pPr>
            <w:r w:rsidRPr="000B74A8">
              <w:t>91.62</w:t>
            </w:r>
          </w:p>
        </w:tc>
        <w:tc>
          <w:tcPr>
            <w:tcW w:w="1170" w:type="dxa"/>
            <w:vAlign w:val="center"/>
          </w:tcPr>
          <w:p w14:paraId="519BC929" w14:textId="54FE0019" w:rsidR="000369BF" w:rsidRPr="000307BB" w:rsidRDefault="000369BF" w:rsidP="000307BB">
            <w:pPr>
              <w:spacing w:before="0" w:after="60"/>
              <w:jc w:val="center"/>
            </w:pPr>
            <w:r w:rsidRPr="000307BB">
              <w:rPr>
                <w:color w:val="000000"/>
              </w:rPr>
              <w:t>22.08</w:t>
            </w:r>
          </w:p>
        </w:tc>
        <w:tc>
          <w:tcPr>
            <w:tcW w:w="1687" w:type="dxa"/>
            <w:vAlign w:val="center"/>
          </w:tcPr>
          <w:p w14:paraId="60810C59" w14:textId="69E0EE16" w:rsidR="000369BF" w:rsidRPr="000307BB" w:rsidRDefault="000369BF" w:rsidP="000307BB">
            <w:pPr>
              <w:spacing w:before="0" w:after="60"/>
              <w:jc w:val="center"/>
            </w:pPr>
            <w:r w:rsidRPr="000307BB">
              <w:rPr>
                <w:color w:val="000000"/>
              </w:rPr>
              <w:t>20.63</w:t>
            </w:r>
            <w:r w:rsidR="00A10BD6" w:rsidRPr="000307BB">
              <w:rPr>
                <w:color w:val="000000"/>
              </w:rPr>
              <w:t xml:space="preserve"> (6.58 %)</w:t>
            </w:r>
          </w:p>
        </w:tc>
        <w:tc>
          <w:tcPr>
            <w:tcW w:w="1688" w:type="dxa"/>
            <w:vAlign w:val="center"/>
          </w:tcPr>
          <w:p w14:paraId="51C3A618" w14:textId="60DE2123" w:rsidR="000369BF" w:rsidRPr="000307BB" w:rsidRDefault="000369BF" w:rsidP="000307BB">
            <w:pPr>
              <w:spacing w:before="0" w:after="60"/>
              <w:jc w:val="center"/>
            </w:pPr>
            <w:r w:rsidRPr="000307BB">
              <w:rPr>
                <w:color w:val="000000"/>
              </w:rPr>
              <w:t>20.40</w:t>
            </w:r>
            <w:r w:rsidR="003151AD" w:rsidRPr="000307BB">
              <w:rPr>
                <w:color w:val="000000"/>
              </w:rPr>
              <w:t xml:space="preserve"> (7.62 %)</w:t>
            </w:r>
          </w:p>
        </w:tc>
        <w:tc>
          <w:tcPr>
            <w:tcW w:w="1687" w:type="dxa"/>
            <w:tcBorders>
              <w:top w:val="single" w:sz="4" w:space="0" w:color="auto"/>
              <w:bottom w:val="single" w:sz="4" w:space="0" w:color="auto"/>
            </w:tcBorders>
            <w:vAlign w:val="center"/>
          </w:tcPr>
          <w:p w14:paraId="59C7D8E9" w14:textId="4D3C0673" w:rsidR="000369BF" w:rsidRPr="000307BB" w:rsidRDefault="000369BF" w:rsidP="000307BB">
            <w:pPr>
              <w:spacing w:before="0" w:after="60"/>
              <w:jc w:val="center"/>
            </w:pPr>
            <w:r w:rsidRPr="000307BB">
              <w:rPr>
                <w:color w:val="000000"/>
              </w:rPr>
              <w:t>20.06</w:t>
            </w:r>
            <w:r w:rsidR="00517AD4" w:rsidRPr="000307BB">
              <w:rPr>
                <w:color w:val="000000"/>
              </w:rPr>
              <w:t xml:space="preserve"> (9.15 %)</w:t>
            </w:r>
          </w:p>
        </w:tc>
      </w:tr>
    </w:tbl>
    <w:p w14:paraId="3F42884B" w14:textId="77777777" w:rsidR="002D2DD4" w:rsidRPr="00FC08FC" w:rsidRDefault="002D2DD4" w:rsidP="002D2DD4">
      <w:pPr>
        <w:rPr>
          <w:sz w:val="22"/>
          <w:szCs w:val="22"/>
        </w:rPr>
      </w:pPr>
    </w:p>
    <w:p w14:paraId="7673775D" w14:textId="1641E2A2" w:rsidR="002D2DD4" w:rsidRPr="00A60130" w:rsidRDefault="002D2DD4" w:rsidP="002D2DD4">
      <w:pPr>
        <w:pStyle w:val="Caption"/>
        <w:jc w:val="center"/>
      </w:pPr>
      <w:bookmarkStart w:id="13" w:name="_Ref54382114"/>
      <w:r w:rsidRPr="00A60130">
        <w:t xml:space="preserve">Table </w:t>
      </w:r>
      <w:fldSimple w:instr=" SEQ Table \* ARABIC ">
        <w:r w:rsidR="00AD3BE1">
          <w:rPr>
            <w:noProof/>
          </w:rPr>
          <w:t>5</w:t>
        </w:r>
      </w:fldSimple>
      <w:bookmarkEnd w:id="13"/>
      <w:r w:rsidRPr="00A60130">
        <w:t>: Median power consumption (</w:t>
      </w:r>
      <w:r w:rsidR="000307BB">
        <w:t xml:space="preserve">Long DRX only, </w:t>
      </w:r>
      <w:r w:rsidRPr="00A60130">
        <w:t>relative gain over Baseline-2 in parentheses)</w:t>
      </w:r>
    </w:p>
    <w:tbl>
      <w:tblPr>
        <w:tblStyle w:val="TableGrid"/>
        <w:tblW w:w="8657" w:type="dxa"/>
        <w:jc w:val="center"/>
        <w:tblLayout w:type="fixed"/>
        <w:tblLook w:val="04A0" w:firstRow="1" w:lastRow="0" w:firstColumn="1" w:lastColumn="0" w:noHBand="0" w:noVBand="1"/>
      </w:tblPr>
      <w:tblGrid>
        <w:gridCol w:w="625"/>
        <w:gridCol w:w="630"/>
        <w:gridCol w:w="1170"/>
        <w:gridCol w:w="1170"/>
        <w:gridCol w:w="1687"/>
        <w:gridCol w:w="1688"/>
        <w:gridCol w:w="1687"/>
      </w:tblGrid>
      <w:tr w:rsidR="002D2DD4" w:rsidRPr="00FC08FC" w14:paraId="73843AFA" w14:textId="77777777" w:rsidTr="002D2DD4">
        <w:trPr>
          <w:jc w:val="center"/>
        </w:trPr>
        <w:tc>
          <w:tcPr>
            <w:tcW w:w="1255" w:type="dxa"/>
            <w:gridSpan w:val="2"/>
            <w:tcBorders>
              <w:bottom w:val="double" w:sz="4" w:space="0" w:color="auto"/>
              <w:right w:val="double" w:sz="4" w:space="0" w:color="auto"/>
            </w:tcBorders>
            <w:shd w:val="clear" w:color="auto" w:fill="E7E6E6" w:themeFill="background2"/>
            <w:vAlign w:val="center"/>
          </w:tcPr>
          <w:p w14:paraId="46B72DFC" w14:textId="77777777" w:rsidR="002D2DD4" w:rsidRPr="00E427A0" w:rsidRDefault="002D2DD4" w:rsidP="002D2DD4">
            <w:pPr>
              <w:spacing w:before="0" w:after="60"/>
              <w:jc w:val="center"/>
              <w:rPr>
                <w:b/>
              </w:rPr>
            </w:pPr>
            <w:r w:rsidRPr="00E427A0">
              <w:rPr>
                <w:b/>
              </w:rPr>
              <w:t>PDCCH periodicity</w:t>
            </w:r>
          </w:p>
        </w:tc>
        <w:tc>
          <w:tcPr>
            <w:tcW w:w="1170" w:type="dxa"/>
            <w:tcBorders>
              <w:left w:val="double" w:sz="4" w:space="0" w:color="auto"/>
              <w:bottom w:val="double" w:sz="4" w:space="0" w:color="auto"/>
            </w:tcBorders>
            <w:shd w:val="clear" w:color="auto" w:fill="E7E6E6" w:themeFill="background2"/>
            <w:vAlign w:val="center"/>
          </w:tcPr>
          <w:p w14:paraId="7C6BF87B" w14:textId="77777777" w:rsidR="002D2DD4" w:rsidRPr="00E427A0" w:rsidRDefault="002D2DD4" w:rsidP="002D2DD4">
            <w:pPr>
              <w:spacing w:before="0" w:after="60"/>
              <w:jc w:val="center"/>
              <w:rPr>
                <w:b/>
              </w:rPr>
            </w:pPr>
            <w:r w:rsidRPr="00E427A0">
              <w:rPr>
                <w:b/>
              </w:rPr>
              <w:t>Baseline</w:t>
            </w:r>
            <w:r>
              <w:rPr>
                <w:b/>
              </w:rPr>
              <w:t>-</w:t>
            </w:r>
            <w:r w:rsidRPr="00E427A0">
              <w:rPr>
                <w:b/>
              </w:rPr>
              <w:t>1</w:t>
            </w:r>
          </w:p>
        </w:tc>
        <w:tc>
          <w:tcPr>
            <w:tcW w:w="1170" w:type="dxa"/>
            <w:tcBorders>
              <w:bottom w:val="double" w:sz="4" w:space="0" w:color="auto"/>
            </w:tcBorders>
            <w:shd w:val="clear" w:color="auto" w:fill="E7E6E6" w:themeFill="background2"/>
            <w:vAlign w:val="center"/>
          </w:tcPr>
          <w:p w14:paraId="55288204" w14:textId="77777777" w:rsidR="002D2DD4" w:rsidRPr="00E427A0" w:rsidRDefault="002D2DD4" w:rsidP="002D2DD4">
            <w:pPr>
              <w:spacing w:before="0" w:after="60"/>
              <w:jc w:val="center"/>
              <w:rPr>
                <w:b/>
              </w:rPr>
            </w:pPr>
            <w:r w:rsidRPr="00E427A0">
              <w:rPr>
                <w:b/>
              </w:rPr>
              <w:t>Baseline</w:t>
            </w:r>
            <w:r>
              <w:rPr>
                <w:b/>
              </w:rPr>
              <w:t>-</w:t>
            </w:r>
            <w:r w:rsidRPr="00E427A0">
              <w:rPr>
                <w:b/>
              </w:rPr>
              <w:t>2</w:t>
            </w:r>
          </w:p>
        </w:tc>
        <w:tc>
          <w:tcPr>
            <w:tcW w:w="1687" w:type="dxa"/>
            <w:tcBorders>
              <w:bottom w:val="double" w:sz="4" w:space="0" w:color="auto"/>
            </w:tcBorders>
            <w:shd w:val="clear" w:color="auto" w:fill="E7E6E6" w:themeFill="background2"/>
            <w:vAlign w:val="center"/>
          </w:tcPr>
          <w:p w14:paraId="0E10ACB2" w14:textId="77777777" w:rsidR="002D2DD4" w:rsidRPr="00E427A0" w:rsidRDefault="002D2DD4" w:rsidP="002D2DD4">
            <w:pPr>
              <w:spacing w:before="0" w:after="60"/>
              <w:jc w:val="center"/>
              <w:rPr>
                <w:b/>
              </w:rPr>
            </w:pPr>
            <w:r w:rsidRPr="00E427A0">
              <w:rPr>
                <w:b/>
              </w:rPr>
              <w:t>WUS</w:t>
            </w:r>
            <w:r>
              <w:rPr>
                <w:b/>
              </w:rPr>
              <w:t>-Long</w:t>
            </w:r>
          </w:p>
        </w:tc>
        <w:tc>
          <w:tcPr>
            <w:tcW w:w="1688" w:type="dxa"/>
            <w:tcBorders>
              <w:bottom w:val="double" w:sz="4" w:space="0" w:color="auto"/>
            </w:tcBorders>
            <w:shd w:val="clear" w:color="auto" w:fill="E7E6E6" w:themeFill="background2"/>
            <w:vAlign w:val="center"/>
          </w:tcPr>
          <w:p w14:paraId="30BDE8F4" w14:textId="77777777" w:rsidR="002D2DD4" w:rsidRPr="00E427A0" w:rsidRDefault="002D2DD4" w:rsidP="002D2DD4">
            <w:pPr>
              <w:spacing w:before="0" w:after="60"/>
              <w:jc w:val="center"/>
              <w:rPr>
                <w:b/>
              </w:rPr>
            </w:pPr>
            <w:r w:rsidRPr="00E427A0">
              <w:rPr>
                <w:b/>
              </w:rPr>
              <w:t>Cross-slot scheduling</w:t>
            </w:r>
          </w:p>
        </w:tc>
        <w:tc>
          <w:tcPr>
            <w:tcW w:w="1687" w:type="dxa"/>
            <w:tcBorders>
              <w:bottom w:val="double" w:sz="4" w:space="0" w:color="auto"/>
            </w:tcBorders>
            <w:shd w:val="clear" w:color="auto" w:fill="E7E6E6" w:themeFill="background2"/>
            <w:vAlign w:val="center"/>
          </w:tcPr>
          <w:p w14:paraId="009EACA4" w14:textId="77777777" w:rsidR="002D2DD4" w:rsidRPr="00E427A0" w:rsidRDefault="002D2DD4" w:rsidP="002D2DD4">
            <w:pPr>
              <w:spacing w:before="0" w:after="60"/>
              <w:jc w:val="center"/>
              <w:rPr>
                <w:b/>
              </w:rPr>
            </w:pPr>
            <w:r w:rsidRPr="00E427A0">
              <w:rPr>
                <w:b/>
              </w:rPr>
              <w:t>PDCCH skip</w:t>
            </w:r>
          </w:p>
        </w:tc>
      </w:tr>
      <w:tr w:rsidR="000369BF" w:rsidRPr="00FC08FC" w14:paraId="0B613744" w14:textId="77777777" w:rsidTr="000307BB">
        <w:trPr>
          <w:jc w:val="center"/>
        </w:trPr>
        <w:tc>
          <w:tcPr>
            <w:tcW w:w="625" w:type="dxa"/>
            <w:vMerge w:val="restart"/>
            <w:tcBorders>
              <w:top w:val="double" w:sz="4" w:space="0" w:color="auto"/>
            </w:tcBorders>
            <w:shd w:val="clear" w:color="auto" w:fill="F2F2F2" w:themeFill="background1" w:themeFillShade="F2"/>
            <w:vAlign w:val="center"/>
          </w:tcPr>
          <w:p w14:paraId="32D76BA7" w14:textId="77777777" w:rsidR="000369BF" w:rsidRPr="00E427A0" w:rsidRDefault="000369BF" w:rsidP="000369BF">
            <w:pPr>
              <w:spacing w:before="0" w:after="60"/>
              <w:jc w:val="center"/>
            </w:pPr>
            <w:r w:rsidRPr="00E427A0">
              <w:t>FR1</w:t>
            </w:r>
          </w:p>
        </w:tc>
        <w:tc>
          <w:tcPr>
            <w:tcW w:w="630" w:type="dxa"/>
            <w:tcBorders>
              <w:top w:val="double" w:sz="4" w:space="0" w:color="auto"/>
              <w:right w:val="double" w:sz="4" w:space="0" w:color="auto"/>
            </w:tcBorders>
            <w:shd w:val="clear" w:color="auto" w:fill="F2F2F2" w:themeFill="background1" w:themeFillShade="F2"/>
            <w:vAlign w:val="center"/>
          </w:tcPr>
          <w:p w14:paraId="0D49AFA0" w14:textId="77777777" w:rsidR="000369BF" w:rsidRPr="00E427A0" w:rsidRDefault="000369BF" w:rsidP="000369BF">
            <w:pPr>
              <w:spacing w:before="0" w:after="60"/>
              <w:jc w:val="center"/>
            </w:pPr>
            <w:r w:rsidRPr="00E427A0">
              <w:t>1</w:t>
            </w:r>
          </w:p>
        </w:tc>
        <w:tc>
          <w:tcPr>
            <w:tcW w:w="1170" w:type="dxa"/>
            <w:tcBorders>
              <w:top w:val="double" w:sz="4" w:space="0" w:color="auto"/>
              <w:left w:val="double" w:sz="4" w:space="0" w:color="auto"/>
            </w:tcBorders>
            <w:vAlign w:val="center"/>
          </w:tcPr>
          <w:p w14:paraId="5EE34B50" w14:textId="77777777" w:rsidR="000369BF" w:rsidRPr="000B74A8" w:rsidRDefault="000369BF" w:rsidP="000369BF">
            <w:pPr>
              <w:spacing w:before="0" w:after="60"/>
              <w:jc w:val="center"/>
            </w:pPr>
            <w:r w:rsidRPr="000B74A8">
              <w:t>108.00</w:t>
            </w:r>
          </w:p>
        </w:tc>
        <w:tc>
          <w:tcPr>
            <w:tcW w:w="1170" w:type="dxa"/>
            <w:tcBorders>
              <w:top w:val="double" w:sz="4" w:space="0" w:color="auto"/>
            </w:tcBorders>
            <w:vAlign w:val="center"/>
          </w:tcPr>
          <w:p w14:paraId="50CD331F" w14:textId="7FA82718" w:rsidR="000369BF" w:rsidRPr="000307BB" w:rsidRDefault="000369BF" w:rsidP="000307BB">
            <w:pPr>
              <w:spacing w:before="0" w:after="60"/>
              <w:jc w:val="center"/>
            </w:pPr>
            <w:r w:rsidRPr="000307BB">
              <w:rPr>
                <w:color w:val="000000"/>
              </w:rPr>
              <w:t>20.14</w:t>
            </w:r>
          </w:p>
        </w:tc>
        <w:tc>
          <w:tcPr>
            <w:tcW w:w="1687" w:type="dxa"/>
            <w:tcBorders>
              <w:top w:val="double" w:sz="4" w:space="0" w:color="auto"/>
            </w:tcBorders>
            <w:vAlign w:val="center"/>
          </w:tcPr>
          <w:p w14:paraId="6B2F1E27" w14:textId="77BD1E9B" w:rsidR="000369BF" w:rsidRPr="000307BB" w:rsidRDefault="000369BF" w:rsidP="000307BB">
            <w:pPr>
              <w:spacing w:before="0" w:after="60"/>
              <w:jc w:val="center"/>
            </w:pPr>
            <w:r w:rsidRPr="000307BB">
              <w:rPr>
                <w:color w:val="000000"/>
              </w:rPr>
              <w:t>17.11</w:t>
            </w:r>
            <w:r w:rsidR="004639D7" w:rsidRPr="000307BB">
              <w:rPr>
                <w:color w:val="000000"/>
              </w:rPr>
              <w:t xml:space="preserve"> (15.02 %)</w:t>
            </w:r>
          </w:p>
        </w:tc>
        <w:tc>
          <w:tcPr>
            <w:tcW w:w="1688" w:type="dxa"/>
            <w:tcBorders>
              <w:top w:val="double" w:sz="4" w:space="0" w:color="auto"/>
            </w:tcBorders>
            <w:vAlign w:val="center"/>
          </w:tcPr>
          <w:p w14:paraId="09A49B9B" w14:textId="5C2F17D9" w:rsidR="000369BF" w:rsidRPr="000307BB" w:rsidRDefault="000369BF" w:rsidP="000307BB">
            <w:pPr>
              <w:spacing w:before="0" w:after="60"/>
              <w:jc w:val="center"/>
            </w:pPr>
            <w:r w:rsidRPr="000307BB">
              <w:rPr>
                <w:color w:val="000000"/>
              </w:rPr>
              <w:t>16.79</w:t>
            </w:r>
            <w:r w:rsidR="0049551F" w:rsidRPr="000307BB">
              <w:rPr>
                <w:color w:val="000000"/>
              </w:rPr>
              <w:t xml:space="preserve"> (16.64 %)</w:t>
            </w:r>
          </w:p>
        </w:tc>
        <w:tc>
          <w:tcPr>
            <w:tcW w:w="1687" w:type="dxa"/>
            <w:tcBorders>
              <w:top w:val="double" w:sz="4" w:space="0" w:color="auto"/>
              <w:bottom w:val="single" w:sz="4" w:space="0" w:color="auto"/>
            </w:tcBorders>
            <w:vAlign w:val="center"/>
          </w:tcPr>
          <w:p w14:paraId="0AF25045" w14:textId="20EC021C" w:rsidR="000369BF" w:rsidRPr="000307BB" w:rsidRDefault="000369BF" w:rsidP="000307BB">
            <w:pPr>
              <w:spacing w:before="0" w:after="60"/>
              <w:jc w:val="center"/>
            </w:pPr>
            <w:r w:rsidRPr="000307BB">
              <w:rPr>
                <w:color w:val="000000"/>
              </w:rPr>
              <w:t>16.52</w:t>
            </w:r>
            <w:r w:rsidR="00636B90" w:rsidRPr="000307BB">
              <w:rPr>
                <w:color w:val="000000"/>
              </w:rPr>
              <w:t xml:space="preserve"> (17.99 %)</w:t>
            </w:r>
          </w:p>
        </w:tc>
      </w:tr>
      <w:tr w:rsidR="000369BF" w:rsidRPr="00FC08FC" w14:paraId="16034DA3" w14:textId="77777777" w:rsidTr="000307BB">
        <w:trPr>
          <w:jc w:val="center"/>
        </w:trPr>
        <w:tc>
          <w:tcPr>
            <w:tcW w:w="625" w:type="dxa"/>
            <w:vMerge/>
            <w:shd w:val="clear" w:color="auto" w:fill="F2F2F2" w:themeFill="background1" w:themeFillShade="F2"/>
            <w:vAlign w:val="center"/>
          </w:tcPr>
          <w:p w14:paraId="2B91E83F" w14:textId="77777777" w:rsidR="000369BF" w:rsidRPr="00E427A0" w:rsidRDefault="000369BF" w:rsidP="000369BF">
            <w:pPr>
              <w:spacing w:before="0" w:after="60"/>
              <w:jc w:val="center"/>
            </w:pPr>
          </w:p>
        </w:tc>
        <w:tc>
          <w:tcPr>
            <w:tcW w:w="630" w:type="dxa"/>
            <w:tcBorders>
              <w:right w:val="double" w:sz="4" w:space="0" w:color="auto"/>
            </w:tcBorders>
            <w:shd w:val="clear" w:color="auto" w:fill="F2F2F2" w:themeFill="background1" w:themeFillShade="F2"/>
            <w:vAlign w:val="center"/>
          </w:tcPr>
          <w:p w14:paraId="178789BD" w14:textId="77777777" w:rsidR="000369BF" w:rsidRPr="00E427A0" w:rsidRDefault="000369BF" w:rsidP="000369BF">
            <w:pPr>
              <w:spacing w:before="0" w:after="60"/>
              <w:jc w:val="center"/>
            </w:pPr>
            <w:r w:rsidRPr="00E427A0">
              <w:t>2</w:t>
            </w:r>
          </w:p>
        </w:tc>
        <w:tc>
          <w:tcPr>
            <w:tcW w:w="1170" w:type="dxa"/>
            <w:tcBorders>
              <w:left w:val="double" w:sz="4" w:space="0" w:color="auto"/>
            </w:tcBorders>
            <w:vAlign w:val="center"/>
          </w:tcPr>
          <w:p w14:paraId="45BBCAC3" w14:textId="77777777" w:rsidR="000369BF" w:rsidRPr="000B74A8" w:rsidRDefault="000369BF" w:rsidP="000369BF">
            <w:pPr>
              <w:spacing w:before="0" w:after="60"/>
              <w:jc w:val="center"/>
            </w:pPr>
            <w:r w:rsidRPr="000B74A8">
              <w:t>81.59</w:t>
            </w:r>
          </w:p>
        </w:tc>
        <w:tc>
          <w:tcPr>
            <w:tcW w:w="1170" w:type="dxa"/>
            <w:vAlign w:val="center"/>
          </w:tcPr>
          <w:p w14:paraId="505E7008" w14:textId="60E95746" w:rsidR="000369BF" w:rsidRPr="000307BB" w:rsidRDefault="000369BF" w:rsidP="000307BB">
            <w:pPr>
              <w:spacing w:before="0" w:after="60"/>
              <w:jc w:val="center"/>
            </w:pPr>
            <w:r w:rsidRPr="000307BB">
              <w:rPr>
                <w:color w:val="000000"/>
              </w:rPr>
              <w:t>18.77</w:t>
            </w:r>
          </w:p>
        </w:tc>
        <w:tc>
          <w:tcPr>
            <w:tcW w:w="1687" w:type="dxa"/>
            <w:vAlign w:val="center"/>
          </w:tcPr>
          <w:p w14:paraId="51FCD0E6" w14:textId="4AA715BB" w:rsidR="000369BF" w:rsidRPr="000307BB" w:rsidRDefault="000369BF" w:rsidP="000307BB">
            <w:pPr>
              <w:spacing w:before="0" w:after="60"/>
              <w:jc w:val="center"/>
            </w:pPr>
            <w:r w:rsidRPr="000307BB">
              <w:rPr>
                <w:color w:val="000000"/>
              </w:rPr>
              <w:t>16.31</w:t>
            </w:r>
            <w:r w:rsidR="004639D7" w:rsidRPr="000307BB">
              <w:rPr>
                <w:color w:val="000000"/>
              </w:rPr>
              <w:t xml:space="preserve"> (13.13 %0</w:t>
            </w:r>
          </w:p>
        </w:tc>
        <w:tc>
          <w:tcPr>
            <w:tcW w:w="1688" w:type="dxa"/>
            <w:vAlign w:val="center"/>
          </w:tcPr>
          <w:p w14:paraId="6AE6FA45" w14:textId="0019FE6B" w:rsidR="000369BF" w:rsidRPr="000307BB" w:rsidRDefault="000369BF" w:rsidP="000307BB">
            <w:pPr>
              <w:spacing w:before="0" w:after="60"/>
              <w:jc w:val="center"/>
            </w:pPr>
            <w:r w:rsidRPr="000307BB">
              <w:rPr>
                <w:color w:val="000000"/>
              </w:rPr>
              <w:t>16.20</w:t>
            </w:r>
            <w:r w:rsidR="0049551F" w:rsidRPr="000307BB">
              <w:rPr>
                <w:color w:val="000000"/>
              </w:rPr>
              <w:t xml:space="preserve"> (13.69 %)</w:t>
            </w:r>
          </w:p>
        </w:tc>
        <w:tc>
          <w:tcPr>
            <w:tcW w:w="1687" w:type="dxa"/>
            <w:tcBorders>
              <w:top w:val="single" w:sz="4" w:space="0" w:color="auto"/>
              <w:bottom w:val="single" w:sz="4" w:space="0" w:color="auto"/>
            </w:tcBorders>
            <w:vAlign w:val="center"/>
          </w:tcPr>
          <w:p w14:paraId="3A1C066E" w14:textId="075EEC33" w:rsidR="000369BF" w:rsidRPr="000307BB" w:rsidRDefault="000369BF" w:rsidP="000307BB">
            <w:pPr>
              <w:spacing w:before="0" w:after="60"/>
              <w:jc w:val="center"/>
            </w:pPr>
            <w:r w:rsidRPr="000307BB">
              <w:rPr>
                <w:color w:val="000000"/>
              </w:rPr>
              <w:t>16.12</w:t>
            </w:r>
            <w:r w:rsidR="00636B90" w:rsidRPr="000307BB">
              <w:rPr>
                <w:color w:val="000000"/>
              </w:rPr>
              <w:t xml:space="preserve"> (14.16 %)</w:t>
            </w:r>
          </w:p>
        </w:tc>
      </w:tr>
      <w:tr w:rsidR="000369BF" w:rsidRPr="00FC08FC" w14:paraId="1736058C" w14:textId="77777777" w:rsidTr="000307BB">
        <w:trPr>
          <w:jc w:val="center"/>
        </w:trPr>
        <w:tc>
          <w:tcPr>
            <w:tcW w:w="625" w:type="dxa"/>
            <w:vMerge w:val="restart"/>
            <w:tcBorders>
              <w:top w:val="double" w:sz="4" w:space="0" w:color="auto"/>
            </w:tcBorders>
            <w:shd w:val="clear" w:color="auto" w:fill="F2F2F2" w:themeFill="background1" w:themeFillShade="F2"/>
            <w:vAlign w:val="center"/>
          </w:tcPr>
          <w:p w14:paraId="17C61772" w14:textId="77777777" w:rsidR="000369BF" w:rsidRPr="00E427A0" w:rsidRDefault="000369BF" w:rsidP="000369BF">
            <w:pPr>
              <w:spacing w:before="0" w:after="60"/>
              <w:jc w:val="center"/>
            </w:pPr>
            <w:r w:rsidRPr="00E427A0">
              <w:t>FR2</w:t>
            </w:r>
          </w:p>
        </w:tc>
        <w:tc>
          <w:tcPr>
            <w:tcW w:w="630" w:type="dxa"/>
            <w:tcBorders>
              <w:top w:val="double" w:sz="4" w:space="0" w:color="auto"/>
              <w:right w:val="double" w:sz="4" w:space="0" w:color="auto"/>
            </w:tcBorders>
            <w:shd w:val="clear" w:color="auto" w:fill="F2F2F2" w:themeFill="background1" w:themeFillShade="F2"/>
            <w:vAlign w:val="center"/>
          </w:tcPr>
          <w:p w14:paraId="257E30DB" w14:textId="77777777" w:rsidR="000369BF" w:rsidRPr="00E427A0" w:rsidRDefault="000369BF" w:rsidP="000369BF">
            <w:pPr>
              <w:spacing w:before="0" w:after="60"/>
              <w:jc w:val="center"/>
            </w:pPr>
            <w:r w:rsidRPr="00E427A0">
              <w:t>1</w:t>
            </w:r>
          </w:p>
        </w:tc>
        <w:tc>
          <w:tcPr>
            <w:tcW w:w="1170" w:type="dxa"/>
            <w:tcBorders>
              <w:top w:val="double" w:sz="4" w:space="0" w:color="auto"/>
              <w:left w:val="double" w:sz="4" w:space="0" w:color="auto"/>
            </w:tcBorders>
            <w:vAlign w:val="center"/>
          </w:tcPr>
          <w:p w14:paraId="7524FD20" w14:textId="77777777" w:rsidR="000369BF" w:rsidRPr="000B74A8" w:rsidRDefault="000369BF" w:rsidP="000369BF">
            <w:pPr>
              <w:spacing w:before="0" w:after="60"/>
              <w:jc w:val="center"/>
              <w:rPr>
                <w:color w:val="000000" w:themeColor="text1"/>
              </w:rPr>
            </w:pPr>
            <w:r w:rsidRPr="000B74A8">
              <w:t>182.00</w:t>
            </w:r>
          </w:p>
        </w:tc>
        <w:tc>
          <w:tcPr>
            <w:tcW w:w="1170" w:type="dxa"/>
            <w:tcBorders>
              <w:top w:val="double" w:sz="4" w:space="0" w:color="auto"/>
            </w:tcBorders>
            <w:vAlign w:val="center"/>
          </w:tcPr>
          <w:p w14:paraId="270F9DFA" w14:textId="3158F6CE" w:rsidR="000369BF" w:rsidRPr="000307BB" w:rsidRDefault="000369BF" w:rsidP="000307BB">
            <w:pPr>
              <w:spacing w:before="0" w:after="60"/>
              <w:jc w:val="center"/>
            </w:pPr>
            <w:r w:rsidRPr="000307BB">
              <w:rPr>
                <w:color w:val="000000"/>
              </w:rPr>
              <w:t>24.00</w:t>
            </w:r>
          </w:p>
        </w:tc>
        <w:tc>
          <w:tcPr>
            <w:tcW w:w="1687" w:type="dxa"/>
            <w:tcBorders>
              <w:top w:val="double" w:sz="4" w:space="0" w:color="auto"/>
            </w:tcBorders>
            <w:vAlign w:val="center"/>
          </w:tcPr>
          <w:p w14:paraId="1D2C4249" w14:textId="20D0D71F" w:rsidR="000369BF" w:rsidRPr="000307BB" w:rsidRDefault="000369BF" w:rsidP="000307BB">
            <w:pPr>
              <w:spacing w:before="0" w:after="60"/>
              <w:jc w:val="center"/>
              <w:rPr>
                <w:color w:val="000000" w:themeColor="text1"/>
              </w:rPr>
            </w:pPr>
            <w:r w:rsidRPr="000307BB">
              <w:rPr>
                <w:color w:val="000000"/>
              </w:rPr>
              <w:t>22.02</w:t>
            </w:r>
            <w:r w:rsidR="004639D7" w:rsidRPr="000307BB">
              <w:rPr>
                <w:color w:val="000000"/>
              </w:rPr>
              <w:t xml:space="preserve"> (8.25 %)</w:t>
            </w:r>
          </w:p>
        </w:tc>
        <w:tc>
          <w:tcPr>
            <w:tcW w:w="1688" w:type="dxa"/>
            <w:tcBorders>
              <w:top w:val="double" w:sz="4" w:space="0" w:color="auto"/>
            </w:tcBorders>
            <w:vAlign w:val="center"/>
          </w:tcPr>
          <w:p w14:paraId="45F7A26A" w14:textId="6F1A6443" w:rsidR="000369BF" w:rsidRPr="000307BB" w:rsidRDefault="000369BF" w:rsidP="000307BB">
            <w:pPr>
              <w:spacing w:before="0" w:after="60"/>
              <w:jc w:val="center"/>
            </w:pPr>
            <w:r w:rsidRPr="000307BB">
              <w:rPr>
                <w:color w:val="000000"/>
              </w:rPr>
              <w:t>20.35</w:t>
            </w:r>
            <w:r w:rsidR="0049551F" w:rsidRPr="000307BB">
              <w:rPr>
                <w:color w:val="000000"/>
              </w:rPr>
              <w:t xml:space="preserve"> (15.23 %)</w:t>
            </w:r>
          </w:p>
        </w:tc>
        <w:tc>
          <w:tcPr>
            <w:tcW w:w="1687" w:type="dxa"/>
            <w:tcBorders>
              <w:top w:val="double" w:sz="4" w:space="0" w:color="auto"/>
              <w:bottom w:val="single" w:sz="4" w:space="0" w:color="auto"/>
            </w:tcBorders>
            <w:vAlign w:val="center"/>
          </w:tcPr>
          <w:p w14:paraId="481EA9AE" w14:textId="5B731D15" w:rsidR="000369BF" w:rsidRPr="000307BB" w:rsidRDefault="000369BF" w:rsidP="000307BB">
            <w:pPr>
              <w:spacing w:before="0" w:after="60"/>
              <w:jc w:val="center"/>
              <w:rPr>
                <w:color w:val="000000" w:themeColor="text1"/>
              </w:rPr>
            </w:pPr>
            <w:r w:rsidRPr="000307BB">
              <w:rPr>
                <w:color w:val="000000"/>
              </w:rPr>
              <w:t>17.87</w:t>
            </w:r>
            <w:r w:rsidR="00636B90" w:rsidRPr="000307BB">
              <w:rPr>
                <w:color w:val="000000"/>
              </w:rPr>
              <w:t xml:space="preserve"> (25.53 %)</w:t>
            </w:r>
          </w:p>
        </w:tc>
      </w:tr>
      <w:tr w:rsidR="000369BF" w:rsidRPr="00FC08FC" w14:paraId="5ED80D11" w14:textId="77777777" w:rsidTr="000307BB">
        <w:trPr>
          <w:jc w:val="center"/>
        </w:trPr>
        <w:tc>
          <w:tcPr>
            <w:tcW w:w="625" w:type="dxa"/>
            <w:vMerge/>
            <w:shd w:val="clear" w:color="auto" w:fill="F2F2F2" w:themeFill="background1" w:themeFillShade="F2"/>
            <w:vAlign w:val="center"/>
          </w:tcPr>
          <w:p w14:paraId="0E7F87A8" w14:textId="77777777" w:rsidR="000369BF" w:rsidRPr="00E427A0" w:rsidRDefault="000369BF" w:rsidP="000369BF">
            <w:pPr>
              <w:spacing w:before="0" w:after="60"/>
              <w:jc w:val="center"/>
            </w:pPr>
          </w:p>
        </w:tc>
        <w:tc>
          <w:tcPr>
            <w:tcW w:w="630" w:type="dxa"/>
            <w:tcBorders>
              <w:right w:val="double" w:sz="4" w:space="0" w:color="auto"/>
            </w:tcBorders>
            <w:shd w:val="clear" w:color="auto" w:fill="F2F2F2" w:themeFill="background1" w:themeFillShade="F2"/>
            <w:vAlign w:val="center"/>
          </w:tcPr>
          <w:p w14:paraId="4D83E98F" w14:textId="77777777" w:rsidR="000369BF" w:rsidRPr="00E427A0" w:rsidRDefault="000369BF" w:rsidP="000369BF">
            <w:pPr>
              <w:spacing w:before="0" w:after="60"/>
              <w:jc w:val="center"/>
            </w:pPr>
            <w:r w:rsidRPr="00E427A0">
              <w:t>2</w:t>
            </w:r>
          </w:p>
        </w:tc>
        <w:tc>
          <w:tcPr>
            <w:tcW w:w="1170" w:type="dxa"/>
            <w:tcBorders>
              <w:left w:val="double" w:sz="4" w:space="0" w:color="auto"/>
            </w:tcBorders>
            <w:vAlign w:val="center"/>
          </w:tcPr>
          <w:p w14:paraId="58A3EF42" w14:textId="77777777" w:rsidR="000369BF" w:rsidRPr="000B74A8" w:rsidRDefault="000369BF" w:rsidP="000369BF">
            <w:pPr>
              <w:spacing w:before="0" w:after="60"/>
              <w:jc w:val="center"/>
            </w:pPr>
            <w:r w:rsidRPr="000B74A8">
              <w:t>119.58</w:t>
            </w:r>
          </w:p>
        </w:tc>
        <w:tc>
          <w:tcPr>
            <w:tcW w:w="1170" w:type="dxa"/>
            <w:vAlign w:val="center"/>
          </w:tcPr>
          <w:p w14:paraId="241EAECA" w14:textId="6C994A7C" w:rsidR="000369BF" w:rsidRPr="000307BB" w:rsidRDefault="000369BF" w:rsidP="000307BB">
            <w:pPr>
              <w:spacing w:before="0" w:after="60"/>
              <w:jc w:val="center"/>
            </w:pPr>
            <w:r w:rsidRPr="000307BB">
              <w:rPr>
                <w:color w:val="000000"/>
              </w:rPr>
              <w:t>20.56</w:t>
            </w:r>
          </w:p>
        </w:tc>
        <w:tc>
          <w:tcPr>
            <w:tcW w:w="1687" w:type="dxa"/>
            <w:vAlign w:val="center"/>
          </w:tcPr>
          <w:p w14:paraId="48243FDE" w14:textId="7848ED6F" w:rsidR="000369BF" w:rsidRPr="000307BB" w:rsidRDefault="000369BF" w:rsidP="000307BB">
            <w:pPr>
              <w:spacing w:before="0" w:after="60"/>
              <w:jc w:val="center"/>
            </w:pPr>
            <w:r w:rsidRPr="000307BB">
              <w:rPr>
                <w:color w:val="000000"/>
              </w:rPr>
              <w:t>19.15</w:t>
            </w:r>
            <w:r w:rsidR="00A92699" w:rsidRPr="000307BB">
              <w:rPr>
                <w:color w:val="000000"/>
              </w:rPr>
              <w:t xml:space="preserve"> (6.90 %</w:t>
            </w:r>
            <w:r w:rsidR="00942498" w:rsidRPr="000307BB">
              <w:rPr>
                <w:color w:val="000000"/>
              </w:rPr>
              <w:t>)</w:t>
            </w:r>
          </w:p>
        </w:tc>
        <w:tc>
          <w:tcPr>
            <w:tcW w:w="1688" w:type="dxa"/>
            <w:vAlign w:val="center"/>
          </w:tcPr>
          <w:p w14:paraId="31B3023D" w14:textId="1631993A" w:rsidR="000369BF" w:rsidRPr="000307BB" w:rsidRDefault="000369BF" w:rsidP="000307BB">
            <w:pPr>
              <w:spacing w:before="0" w:after="60"/>
              <w:jc w:val="center"/>
            </w:pPr>
            <w:r w:rsidRPr="000307BB">
              <w:rPr>
                <w:color w:val="000000"/>
              </w:rPr>
              <w:t>18.46</w:t>
            </w:r>
            <w:r w:rsidR="002750FA" w:rsidRPr="000307BB">
              <w:rPr>
                <w:color w:val="000000"/>
              </w:rPr>
              <w:t xml:space="preserve"> (10.21 %)</w:t>
            </w:r>
          </w:p>
        </w:tc>
        <w:tc>
          <w:tcPr>
            <w:tcW w:w="1687" w:type="dxa"/>
            <w:tcBorders>
              <w:top w:val="single" w:sz="4" w:space="0" w:color="auto"/>
              <w:bottom w:val="single" w:sz="4" w:space="0" w:color="auto"/>
            </w:tcBorders>
            <w:vAlign w:val="center"/>
          </w:tcPr>
          <w:p w14:paraId="3B69A8CA" w14:textId="723D678C" w:rsidR="000369BF" w:rsidRPr="000307BB" w:rsidRDefault="000369BF" w:rsidP="000307BB">
            <w:pPr>
              <w:spacing w:before="0" w:after="60"/>
              <w:jc w:val="center"/>
            </w:pPr>
            <w:r w:rsidRPr="000307BB">
              <w:rPr>
                <w:color w:val="000000"/>
              </w:rPr>
              <w:t>17.46</w:t>
            </w:r>
            <w:r w:rsidR="00636B90" w:rsidRPr="000307BB">
              <w:rPr>
                <w:color w:val="000000"/>
              </w:rPr>
              <w:t xml:space="preserve"> (15.10 %)</w:t>
            </w:r>
          </w:p>
        </w:tc>
      </w:tr>
      <w:tr w:rsidR="000369BF" w:rsidRPr="00FC08FC" w14:paraId="1F383019" w14:textId="77777777" w:rsidTr="000307BB">
        <w:trPr>
          <w:jc w:val="center"/>
        </w:trPr>
        <w:tc>
          <w:tcPr>
            <w:tcW w:w="625" w:type="dxa"/>
            <w:vMerge/>
            <w:shd w:val="clear" w:color="auto" w:fill="F2F2F2" w:themeFill="background1" w:themeFillShade="F2"/>
            <w:vAlign w:val="center"/>
          </w:tcPr>
          <w:p w14:paraId="217A3A71" w14:textId="77777777" w:rsidR="000369BF" w:rsidRPr="00E427A0" w:rsidRDefault="000369BF" w:rsidP="000369BF">
            <w:pPr>
              <w:spacing w:before="0" w:after="60"/>
              <w:jc w:val="center"/>
            </w:pPr>
          </w:p>
        </w:tc>
        <w:tc>
          <w:tcPr>
            <w:tcW w:w="630" w:type="dxa"/>
            <w:tcBorders>
              <w:right w:val="double" w:sz="4" w:space="0" w:color="auto"/>
            </w:tcBorders>
            <w:shd w:val="clear" w:color="auto" w:fill="F2F2F2" w:themeFill="background1" w:themeFillShade="F2"/>
            <w:vAlign w:val="center"/>
          </w:tcPr>
          <w:p w14:paraId="6920BECA" w14:textId="77777777" w:rsidR="000369BF" w:rsidRPr="00E427A0" w:rsidRDefault="000369BF" w:rsidP="000369BF">
            <w:pPr>
              <w:spacing w:before="0" w:after="60"/>
              <w:jc w:val="center"/>
            </w:pPr>
            <w:r w:rsidRPr="00E427A0">
              <w:t>4</w:t>
            </w:r>
          </w:p>
        </w:tc>
        <w:tc>
          <w:tcPr>
            <w:tcW w:w="1170" w:type="dxa"/>
            <w:tcBorders>
              <w:left w:val="double" w:sz="4" w:space="0" w:color="auto"/>
            </w:tcBorders>
            <w:vAlign w:val="center"/>
          </w:tcPr>
          <w:p w14:paraId="28443F00" w14:textId="77777777" w:rsidR="000369BF" w:rsidRPr="000B74A8" w:rsidRDefault="000369BF" w:rsidP="000369BF">
            <w:pPr>
              <w:spacing w:before="0" w:after="60"/>
              <w:jc w:val="center"/>
            </w:pPr>
            <w:r w:rsidRPr="000B74A8">
              <w:t>88.40</w:t>
            </w:r>
          </w:p>
        </w:tc>
        <w:tc>
          <w:tcPr>
            <w:tcW w:w="1170" w:type="dxa"/>
            <w:vAlign w:val="center"/>
          </w:tcPr>
          <w:p w14:paraId="5D31A0E4" w14:textId="494EFF28" w:rsidR="000369BF" w:rsidRPr="000307BB" w:rsidRDefault="000369BF" w:rsidP="000307BB">
            <w:pPr>
              <w:spacing w:before="0" w:after="60"/>
              <w:jc w:val="center"/>
            </w:pPr>
            <w:r w:rsidRPr="000307BB">
              <w:rPr>
                <w:color w:val="000000"/>
              </w:rPr>
              <w:t>18.82</w:t>
            </w:r>
          </w:p>
        </w:tc>
        <w:tc>
          <w:tcPr>
            <w:tcW w:w="1687" w:type="dxa"/>
            <w:vAlign w:val="center"/>
          </w:tcPr>
          <w:p w14:paraId="53F62604" w14:textId="31620FF8" w:rsidR="000369BF" w:rsidRPr="000307BB" w:rsidRDefault="000369BF" w:rsidP="000307BB">
            <w:pPr>
              <w:spacing w:before="0" w:after="60"/>
              <w:jc w:val="center"/>
            </w:pPr>
            <w:r w:rsidRPr="000307BB">
              <w:rPr>
                <w:color w:val="000000"/>
              </w:rPr>
              <w:t>17.75</w:t>
            </w:r>
            <w:r w:rsidR="00942498" w:rsidRPr="000307BB">
              <w:rPr>
                <w:color w:val="000000"/>
              </w:rPr>
              <w:t xml:space="preserve"> (5.69 %)</w:t>
            </w:r>
          </w:p>
        </w:tc>
        <w:tc>
          <w:tcPr>
            <w:tcW w:w="1688" w:type="dxa"/>
            <w:vAlign w:val="center"/>
          </w:tcPr>
          <w:p w14:paraId="251D4378" w14:textId="26CA8B7A" w:rsidR="000369BF" w:rsidRPr="000307BB" w:rsidRDefault="000369BF" w:rsidP="000307BB">
            <w:pPr>
              <w:spacing w:before="0" w:after="60"/>
              <w:jc w:val="center"/>
            </w:pPr>
            <w:r w:rsidRPr="000307BB">
              <w:rPr>
                <w:color w:val="000000"/>
              </w:rPr>
              <w:t>17.54</w:t>
            </w:r>
            <w:r w:rsidR="002750FA" w:rsidRPr="000307BB">
              <w:rPr>
                <w:color w:val="000000"/>
              </w:rPr>
              <w:t xml:space="preserve"> (6.81 %)</w:t>
            </w:r>
          </w:p>
        </w:tc>
        <w:tc>
          <w:tcPr>
            <w:tcW w:w="1687" w:type="dxa"/>
            <w:tcBorders>
              <w:top w:val="single" w:sz="4" w:space="0" w:color="auto"/>
              <w:bottom w:val="single" w:sz="4" w:space="0" w:color="auto"/>
            </w:tcBorders>
            <w:vAlign w:val="center"/>
          </w:tcPr>
          <w:p w14:paraId="6EB2082A" w14:textId="29DD190A" w:rsidR="000369BF" w:rsidRPr="000307BB" w:rsidRDefault="000369BF" w:rsidP="000307BB">
            <w:pPr>
              <w:spacing w:before="0" w:after="60"/>
              <w:jc w:val="center"/>
            </w:pPr>
            <w:r w:rsidRPr="000307BB">
              <w:rPr>
                <w:color w:val="000000"/>
              </w:rPr>
              <w:t>17.23</w:t>
            </w:r>
            <w:r w:rsidR="00636B90" w:rsidRPr="000307BB">
              <w:rPr>
                <w:color w:val="000000"/>
              </w:rPr>
              <w:t xml:space="preserve"> (8.47 %)</w:t>
            </w:r>
          </w:p>
        </w:tc>
      </w:tr>
    </w:tbl>
    <w:p w14:paraId="4999EF5F" w14:textId="77777777" w:rsidR="002D2DD4" w:rsidRDefault="002D2DD4" w:rsidP="002D2DD4"/>
    <w:p w14:paraId="3180E382" w14:textId="1CEB71AD" w:rsidR="002D2DD4" w:rsidRPr="00A60130" w:rsidRDefault="002D2DD4" w:rsidP="002D2DD4">
      <w:pPr>
        <w:pStyle w:val="Caption"/>
        <w:jc w:val="center"/>
      </w:pPr>
      <w:bookmarkStart w:id="14" w:name="_Ref54382116"/>
      <w:r>
        <w:t xml:space="preserve">Table </w:t>
      </w:r>
      <w:fldSimple w:instr=" SEQ Table \* ARABIC ">
        <w:r w:rsidR="00AD3BE1">
          <w:rPr>
            <w:noProof/>
          </w:rPr>
          <w:t>6</w:t>
        </w:r>
      </w:fldSimple>
      <w:bookmarkEnd w:id="14"/>
      <w:r w:rsidRPr="00A60130">
        <w:t>: 5</w:t>
      </w:r>
      <w:r w:rsidRPr="00A60130">
        <w:rPr>
          <w:vertAlign w:val="superscript"/>
        </w:rPr>
        <w:t>th</w:t>
      </w:r>
      <w:r w:rsidRPr="00A60130">
        <w:t xml:space="preserve"> percentile power consumption (</w:t>
      </w:r>
      <w:r w:rsidR="000307BB">
        <w:t xml:space="preserve">Long DRX only, </w:t>
      </w:r>
      <w:r w:rsidRPr="00A60130">
        <w:t>relative gain over Baseline-2 in parentheses)</w:t>
      </w:r>
    </w:p>
    <w:tbl>
      <w:tblPr>
        <w:tblStyle w:val="TableGrid"/>
        <w:tblW w:w="8661" w:type="dxa"/>
        <w:jc w:val="center"/>
        <w:tblLayout w:type="fixed"/>
        <w:tblLook w:val="04A0" w:firstRow="1" w:lastRow="0" w:firstColumn="1" w:lastColumn="0" w:noHBand="0" w:noVBand="1"/>
      </w:tblPr>
      <w:tblGrid>
        <w:gridCol w:w="630"/>
        <w:gridCol w:w="630"/>
        <w:gridCol w:w="1165"/>
        <w:gridCol w:w="1170"/>
        <w:gridCol w:w="1688"/>
        <w:gridCol w:w="1689"/>
        <w:gridCol w:w="1689"/>
      </w:tblGrid>
      <w:tr w:rsidR="002D2DD4" w:rsidRPr="00FC08FC" w14:paraId="6EFD71CB" w14:textId="77777777" w:rsidTr="002D2DD4">
        <w:trPr>
          <w:jc w:val="center"/>
        </w:trPr>
        <w:tc>
          <w:tcPr>
            <w:tcW w:w="1260" w:type="dxa"/>
            <w:gridSpan w:val="2"/>
            <w:tcBorders>
              <w:bottom w:val="double" w:sz="4" w:space="0" w:color="auto"/>
              <w:right w:val="double" w:sz="4" w:space="0" w:color="auto"/>
            </w:tcBorders>
            <w:shd w:val="clear" w:color="auto" w:fill="E7E6E6" w:themeFill="background2"/>
            <w:vAlign w:val="center"/>
          </w:tcPr>
          <w:p w14:paraId="38A4BD75" w14:textId="77777777" w:rsidR="002D2DD4" w:rsidRPr="00E427A0" w:rsidRDefault="002D2DD4" w:rsidP="002D2DD4">
            <w:pPr>
              <w:spacing w:before="0" w:after="60"/>
              <w:jc w:val="center"/>
              <w:rPr>
                <w:b/>
              </w:rPr>
            </w:pPr>
            <w:r w:rsidRPr="00E427A0">
              <w:rPr>
                <w:b/>
              </w:rPr>
              <w:t>PDCCH periodicity</w:t>
            </w:r>
          </w:p>
        </w:tc>
        <w:tc>
          <w:tcPr>
            <w:tcW w:w="1165" w:type="dxa"/>
            <w:tcBorders>
              <w:left w:val="double" w:sz="4" w:space="0" w:color="auto"/>
              <w:bottom w:val="double" w:sz="4" w:space="0" w:color="auto"/>
            </w:tcBorders>
            <w:shd w:val="clear" w:color="auto" w:fill="E7E6E6" w:themeFill="background2"/>
            <w:vAlign w:val="center"/>
          </w:tcPr>
          <w:p w14:paraId="2304F311" w14:textId="77777777" w:rsidR="002D2DD4" w:rsidRPr="00E427A0" w:rsidRDefault="002D2DD4" w:rsidP="002D2DD4">
            <w:pPr>
              <w:spacing w:before="0" w:after="60"/>
              <w:jc w:val="center"/>
              <w:rPr>
                <w:b/>
              </w:rPr>
            </w:pPr>
            <w:r w:rsidRPr="00E427A0">
              <w:rPr>
                <w:b/>
              </w:rPr>
              <w:t>Baseline</w:t>
            </w:r>
            <w:r>
              <w:rPr>
                <w:b/>
              </w:rPr>
              <w:t>-</w:t>
            </w:r>
            <w:r w:rsidRPr="00E427A0">
              <w:rPr>
                <w:b/>
              </w:rPr>
              <w:t>1</w:t>
            </w:r>
          </w:p>
        </w:tc>
        <w:tc>
          <w:tcPr>
            <w:tcW w:w="1170" w:type="dxa"/>
            <w:tcBorders>
              <w:bottom w:val="double" w:sz="4" w:space="0" w:color="auto"/>
            </w:tcBorders>
            <w:shd w:val="clear" w:color="auto" w:fill="E7E6E6" w:themeFill="background2"/>
            <w:vAlign w:val="center"/>
          </w:tcPr>
          <w:p w14:paraId="0FEDAA8C" w14:textId="77777777" w:rsidR="002D2DD4" w:rsidRPr="00E427A0" w:rsidRDefault="002D2DD4" w:rsidP="002D2DD4">
            <w:pPr>
              <w:spacing w:before="0" w:after="60"/>
              <w:jc w:val="center"/>
              <w:rPr>
                <w:b/>
              </w:rPr>
            </w:pPr>
            <w:r w:rsidRPr="00E427A0">
              <w:rPr>
                <w:b/>
              </w:rPr>
              <w:t>Baseline</w:t>
            </w:r>
            <w:r>
              <w:rPr>
                <w:b/>
              </w:rPr>
              <w:t>-</w:t>
            </w:r>
            <w:r w:rsidRPr="00E427A0">
              <w:rPr>
                <w:b/>
              </w:rPr>
              <w:t>2</w:t>
            </w:r>
          </w:p>
        </w:tc>
        <w:tc>
          <w:tcPr>
            <w:tcW w:w="1688" w:type="dxa"/>
            <w:tcBorders>
              <w:bottom w:val="double" w:sz="4" w:space="0" w:color="auto"/>
            </w:tcBorders>
            <w:shd w:val="clear" w:color="auto" w:fill="E7E6E6" w:themeFill="background2"/>
            <w:vAlign w:val="center"/>
          </w:tcPr>
          <w:p w14:paraId="2BB46865" w14:textId="77777777" w:rsidR="002D2DD4" w:rsidRPr="00E427A0" w:rsidRDefault="002D2DD4" w:rsidP="002D2DD4">
            <w:pPr>
              <w:spacing w:before="0" w:after="60"/>
              <w:jc w:val="center"/>
              <w:rPr>
                <w:b/>
              </w:rPr>
            </w:pPr>
            <w:r w:rsidRPr="00E427A0">
              <w:rPr>
                <w:b/>
              </w:rPr>
              <w:t>WUS</w:t>
            </w:r>
            <w:r>
              <w:rPr>
                <w:b/>
              </w:rPr>
              <w:t>-Long</w:t>
            </w:r>
          </w:p>
        </w:tc>
        <w:tc>
          <w:tcPr>
            <w:tcW w:w="1689" w:type="dxa"/>
            <w:tcBorders>
              <w:bottom w:val="double" w:sz="4" w:space="0" w:color="auto"/>
            </w:tcBorders>
            <w:shd w:val="clear" w:color="auto" w:fill="E7E6E6" w:themeFill="background2"/>
            <w:vAlign w:val="center"/>
          </w:tcPr>
          <w:p w14:paraId="4315B29F" w14:textId="77777777" w:rsidR="002D2DD4" w:rsidRPr="00E427A0" w:rsidRDefault="002D2DD4" w:rsidP="002D2DD4">
            <w:pPr>
              <w:spacing w:before="0" w:after="60"/>
              <w:jc w:val="center"/>
              <w:rPr>
                <w:b/>
              </w:rPr>
            </w:pPr>
            <w:r w:rsidRPr="00E427A0">
              <w:rPr>
                <w:b/>
              </w:rPr>
              <w:t>Cross-slot scheduling</w:t>
            </w:r>
          </w:p>
        </w:tc>
        <w:tc>
          <w:tcPr>
            <w:tcW w:w="1689" w:type="dxa"/>
            <w:tcBorders>
              <w:bottom w:val="double" w:sz="4" w:space="0" w:color="auto"/>
            </w:tcBorders>
            <w:shd w:val="clear" w:color="auto" w:fill="E7E6E6" w:themeFill="background2"/>
            <w:vAlign w:val="center"/>
          </w:tcPr>
          <w:p w14:paraId="327265FD" w14:textId="77777777" w:rsidR="002D2DD4" w:rsidRPr="00E427A0" w:rsidRDefault="002D2DD4" w:rsidP="002D2DD4">
            <w:pPr>
              <w:spacing w:before="0" w:after="60"/>
              <w:jc w:val="center"/>
              <w:rPr>
                <w:b/>
              </w:rPr>
            </w:pPr>
            <w:r w:rsidRPr="00E427A0">
              <w:rPr>
                <w:b/>
              </w:rPr>
              <w:t>PDCCH skip</w:t>
            </w:r>
          </w:p>
        </w:tc>
      </w:tr>
      <w:tr w:rsidR="000369BF" w:rsidRPr="00305B64" w14:paraId="23B6A4B5" w14:textId="77777777" w:rsidTr="000307BB">
        <w:trPr>
          <w:jc w:val="center"/>
        </w:trPr>
        <w:tc>
          <w:tcPr>
            <w:tcW w:w="630" w:type="dxa"/>
            <w:vMerge w:val="restart"/>
            <w:tcBorders>
              <w:top w:val="double" w:sz="4" w:space="0" w:color="auto"/>
            </w:tcBorders>
            <w:shd w:val="clear" w:color="auto" w:fill="F2F2F2" w:themeFill="background1" w:themeFillShade="F2"/>
            <w:vAlign w:val="center"/>
          </w:tcPr>
          <w:p w14:paraId="0C03688B" w14:textId="77777777" w:rsidR="000369BF" w:rsidRPr="00E427A0" w:rsidRDefault="000369BF" w:rsidP="000369BF">
            <w:pPr>
              <w:spacing w:before="0" w:after="60"/>
              <w:jc w:val="center"/>
            </w:pPr>
            <w:r w:rsidRPr="00E427A0">
              <w:t>FR1</w:t>
            </w:r>
          </w:p>
        </w:tc>
        <w:tc>
          <w:tcPr>
            <w:tcW w:w="630" w:type="dxa"/>
            <w:tcBorders>
              <w:top w:val="double" w:sz="4" w:space="0" w:color="auto"/>
              <w:right w:val="double" w:sz="4" w:space="0" w:color="auto"/>
            </w:tcBorders>
            <w:shd w:val="clear" w:color="auto" w:fill="F2F2F2" w:themeFill="background1" w:themeFillShade="F2"/>
            <w:vAlign w:val="center"/>
          </w:tcPr>
          <w:p w14:paraId="79CE5045" w14:textId="77777777" w:rsidR="000369BF" w:rsidRPr="00E427A0" w:rsidRDefault="000369BF" w:rsidP="000369BF">
            <w:pPr>
              <w:spacing w:before="0" w:after="60"/>
              <w:jc w:val="center"/>
            </w:pPr>
            <w:r w:rsidRPr="00E427A0">
              <w:t>1</w:t>
            </w:r>
          </w:p>
        </w:tc>
        <w:tc>
          <w:tcPr>
            <w:tcW w:w="1165" w:type="dxa"/>
            <w:tcBorders>
              <w:top w:val="double" w:sz="4" w:space="0" w:color="auto"/>
              <w:left w:val="double" w:sz="4" w:space="0" w:color="auto"/>
            </w:tcBorders>
            <w:vAlign w:val="center"/>
          </w:tcPr>
          <w:p w14:paraId="7AEA549C" w14:textId="77777777" w:rsidR="000369BF" w:rsidRPr="000B74A8" w:rsidRDefault="000369BF" w:rsidP="000369BF">
            <w:pPr>
              <w:spacing w:before="0" w:after="60"/>
              <w:jc w:val="center"/>
            </w:pPr>
            <w:r w:rsidRPr="000B74A8">
              <w:t>102.37</w:t>
            </w:r>
          </w:p>
        </w:tc>
        <w:tc>
          <w:tcPr>
            <w:tcW w:w="1170" w:type="dxa"/>
            <w:tcBorders>
              <w:top w:val="double" w:sz="4" w:space="0" w:color="auto"/>
            </w:tcBorders>
            <w:vAlign w:val="center"/>
          </w:tcPr>
          <w:p w14:paraId="0ABCD418" w14:textId="76927244" w:rsidR="000369BF" w:rsidRPr="000307BB" w:rsidRDefault="000369BF" w:rsidP="000307BB">
            <w:pPr>
              <w:spacing w:before="0" w:after="60"/>
              <w:jc w:val="center"/>
            </w:pPr>
            <w:r w:rsidRPr="000307BB">
              <w:rPr>
                <w:color w:val="000000"/>
              </w:rPr>
              <w:t>11.14</w:t>
            </w:r>
          </w:p>
        </w:tc>
        <w:tc>
          <w:tcPr>
            <w:tcW w:w="1688" w:type="dxa"/>
            <w:tcBorders>
              <w:top w:val="double" w:sz="4" w:space="0" w:color="auto"/>
            </w:tcBorders>
            <w:vAlign w:val="center"/>
          </w:tcPr>
          <w:p w14:paraId="09215418" w14:textId="739F6B03" w:rsidR="000369BF" w:rsidRPr="000307BB" w:rsidRDefault="000369BF" w:rsidP="000307BB">
            <w:pPr>
              <w:spacing w:before="0" w:after="60"/>
              <w:jc w:val="center"/>
            </w:pPr>
            <w:r w:rsidRPr="000307BB">
              <w:rPr>
                <w:color w:val="000000"/>
              </w:rPr>
              <w:t>6.03</w:t>
            </w:r>
            <w:r w:rsidR="00636B90" w:rsidRPr="000307BB">
              <w:rPr>
                <w:color w:val="000000"/>
              </w:rPr>
              <w:t xml:space="preserve"> </w:t>
            </w:r>
            <w:r w:rsidR="002D49F2" w:rsidRPr="000307BB">
              <w:rPr>
                <w:color w:val="000000"/>
              </w:rPr>
              <w:t>(45.84 %)</w:t>
            </w:r>
          </w:p>
        </w:tc>
        <w:tc>
          <w:tcPr>
            <w:tcW w:w="1689" w:type="dxa"/>
            <w:tcBorders>
              <w:top w:val="double" w:sz="4" w:space="0" w:color="auto"/>
            </w:tcBorders>
            <w:vAlign w:val="center"/>
          </w:tcPr>
          <w:p w14:paraId="5EA3D91C" w14:textId="7CBB9AC5" w:rsidR="000369BF" w:rsidRPr="000307BB" w:rsidRDefault="000369BF" w:rsidP="000307BB">
            <w:pPr>
              <w:spacing w:before="0" w:after="60"/>
              <w:jc w:val="center"/>
            </w:pPr>
            <w:r w:rsidRPr="000307BB">
              <w:rPr>
                <w:color w:val="000000"/>
              </w:rPr>
              <w:t>5.92</w:t>
            </w:r>
            <w:r w:rsidR="002B050F" w:rsidRPr="000307BB">
              <w:rPr>
                <w:color w:val="000000"/>
              </w:rPr>
              <w:t xml:space="preserve"> (46.84 %)</w:t>
            </w:r>
          </w:p>
        </w:tc>
        <w:tc>
          <w:tcPr>
            <w:tcW w:w="1689" w:type="dxa"/>
            <w:tcBorders>
              <w:top w:val="double" w:sz="4" w:space="0" w:color="auto"/>
              <w:bottom w:val="single" w:sz="4" w:space="0" w:color="auto"/>
            </w:tcBorders>
            <w:vAlign w:val="center"/>
          </w:tcPr>
          <w:p w14:paraId="4ECCF072" w14:textId="7A49AA85" w:rsidR="000369BF" w:rsidRPr="000307BB" w:rsidRDefault="000369BF" w:rsidP="000307BB">
            <w:pPr>
              <w:spacing w:before="0" w:after="60"/>
              <w:jc w:val="center"/>
            </w:pPr>
            <w:r w:rsidRPr="000307BB">
              <w:rPr>
                <w:color w:val="000000"/>
              </w:rPr>
              <w:t>5.83</w:t>
            </w:r>
            <w:r w:rsidR="00AE7BF1" w:rsidRPr="000307BB">
              <w:rPr>
                <w:color w:val="000000"/>
              </w:rPr>
              <w:t xml:space="preserve"> (47.68 %)</w:t>
            </w:r>
          </w:p>
        </w:tc>
      </w:tr>
      <w:tr w:rsidR="000369BF" w:rsidRPr="00305B64" w14:paraId="1861BB09" w14:textId="77777777" w:rsidTr="000307BB">
        <w:trPr>
          <w:jc w:val="center"/>
        </w:trPr>
        <w:tc>
          <w:tcPr>
            <w:tcW w:w="630" w:type="dxa"/>
            <w:vMerge/>
            <w:shd w:val="clear" w:color="auto" w:fill="F2F2F2" w:themeFill="background1" w:themeFillShade="F2"/>
            <w:vAlign w:val="center"/>
          </w:tcPr>
          <w:p w14:paraId="30D9826E" w14:textId="77777777" w:rsidR="000369BF" w:rsidRPr="00E427A0" w:rsidRDefault="000369BF" w:rsidP="000369BF">
            <w:pPr>
              <w:spacing w:before="0" w:after="60"/>
              <w:jc w:val="center"/>
            </w:pPr>
          </w:p>
        </w:tc>
        <w:tc>
          <w:tcPr>
            <w:tcW w:w="630" w:type="dxa"/>
            <w:tcBorders>
              <w:right w:val="double" w:sz="4" w:space="0" w:color="auto"/>
            </w:tcBorders>
            <w:shd w:val="clear" w:color="auto" w:fill="F2F2F2" w:themeFill="background1" w:themeFillShade="F2"/>
            <w:vAlign w:val="center"/>
          </w:tcPr>
          <w:p w14:paraId="236D852A" w14:textId="77777777" w:rsidR="000369BF" w:rsidRPr="00E427A0" w:rsidRDefault="000369BF" w:rsidP="000369BF">
            <w:pPr>
              <w:spacing w:before="0" w:after="60"/>
              <w:jc w:val="center"/>
            </w:pPr>
            <w:r w:rsidRPr="00E427A0">
              <w:t>2</w:t>
            </w:r>
          </w:p>
        </w:tc>
        <w:tc>
          <w:tcPr>
            <w:tcW w:w="1165" w:type="dxa"/>
            <w:tcBorders>
              <w:left w:val="double" w:sz="4" w:space="0" w:color="auto"/>
            </w:tcBorders>
            <w:vAlign w:val="center"/>
          </w:tcPr>
          <w:p w14:paraId="3B9A4F82" w14:textId="77777777" w:rsidR="000369BF" w:rsidRPr="000B74A8" w:rsidRDefault="000369BF" w:rsidP="000369BF">
            <w:pPr>
              <w:spacing w:before="0" w:after="60"/>
              <w:jc w:val="center"/>
            </w:pPr>
            <w:r w:rsidRPr="000B74A8">
              <w:t>75.20</w:t>
            </w:r>
          </w:p>
        </w:tc>
        <w:tc>
          <w:tcPr>
            <w:tcW w:w="1170" w:type="dxa"/>
            <w:vAlign w:val="center"/>
          </w:tcPr>
          <w:p w14:paraId="29E9115C" w14:textId="2920C52F" w:rsidR="000369BF" w:rsidRPr="000307BB" w:rsidRDefault="000369BF" w:rsidP="000307BB">
            <w:pPr>
              <w:spacing w:before="0" w:after="60"/>
              <w:jc w:val="center"/>
            </w:pPr>
            <w:r w:rsidRPr="000307BB">
              <w:rPr>
                <w:color w:val="000000"/>
              </w:rPr>
              <w:t>10.18</w:t>
            </w:r>
          </w:p>
        </w:tc>
        <w:tc>
          <w:tcPr>
            <w:tcW w:w="1688" w:type="dxa"/>
            <w:vAlign w:val="center"/>
          </w:tcPr>
          <w:p w14:paraId="6D4BB5CF" w14:textId="058A2E56" w:rsidR="000369BF" w:rsidRPr="000307BB" w:rsidRDefault="000369BF" w:rsidP="000307BB">
            <w:pPr>
              <w:spacing w:before="0" w:after="60"/>
              <w:jc w:val="center"/>
            </w:pPr>
            <w:r w:rsidRPr="000307BB">
              <w:rPr>
                <w:color w:val="000000"/>
              </w:rPr>
              <w:t>5.81</w:t>
            </w:r>
            <w:r w:rsidR="002D49F2" w:rsidRPr="000307BB">
              <w:rPr>
                <w:color w:val="000000"/>
              </w:rPr>
              <w:t xml:space="preserve"> (</w:t>
            </w:r>
            <w:r w:rsidR="000F7632" w:rsidRPr="000307BB">
              <w:rPr>
                <w:color w:val="000000"/>
              </w:rPr>
              <w:t>42.89 %)</w:t>
            </w:r>
          </w:p>
        </w:tc>
        <w:tc>
          <w:tcPr>
            <w:tcW w:w="1689" w:type="dxa"/>
            <w:vAlign w:val="center"/>
          </w:tcPr>
          <w:p w14:paraId="0C8AB9AB" w14:textId="7C675BE4" w:rsidR="000369BF" w:rsidRPr="000307BB" w:rsidRDefault="000369BF" w:rsidP="000307BB">
            <w:pPr>
              <w:spacing w:before="0" w:after="60"/>
              <w:jc w:val="center"/>
            </w:pPr>
            <w:r w:rsidRPr="000307BB">
              <w:rPr>
                <w:color w:val="000000"/>
              </w:rPr>
              <w:t>5.76</w:t>
            </w:r>
            <w:r w:rsidR="002B050F" w:rsidRPr="000307BB">
              <w:rPr>
                <w:color w:val="000000"/>
              </w:rPr>
              <w:t xml:space="preserve"> (43.37 %)</w:t>
            </w:r>
          </w:p>
        </w:tc>
        <w:tc>
          <w:tcPr>
            <w:tcW w:w="1689" w:type="dxa"/>
            <w:tcBorders>
              <w:top w:val="single" w:sz="4" w:space="0" w:color="auto"/>
              <w:bottom w:val="single" w:sz="4" w:space="0" w:color="auto"/>
            </w:tcBorders>
            <w:vAlign w:val="center"/>
          </w:tcPr>
          <w:p w14:paraId="41018527" w14:textId="583722EC" w:rsidR="000369BF" w:rsidRPr="000307BB" w:rsidRDefault="000369BF" w:rsidP="000307BB">
            <w:pPr>
              <w:spacing w:before="0" w:after="60"/>
              <w:jc w:val="center"/>
            </w:pPr>
            <w:r w:rsidRPr="000307BB">
              <w:rPr>
                <w:color w:val="000000"/>
              </w:rPr>
              <w:t>5.72</w:t>
            </w:r>
            <w:r w:rsidR="00AE7BF1" w:rsidRPr="000307BB">
              <w:rPr>
                <w:color w:val="000000"/>
              </w:rPr>
              <w:t xml:space="preserve"> (43.77 %)</w:t>
            </w:r>
          </w:p>
        </w:tc>
      </w:tr>
      <w:tr w:rsidR="000369BF" w:rsidRPr="00305B64" w14:paraId="3865A5FA" w14:textId="77777777" w:rsidTr="000307BB">
        <w:trPr>
          <w:jc w:val="center"/>
        </w:trPr>
        <w:tc>
          <w:tcPr>
            <w:tcW w:w="630" w:type="dxa"/>
            <w:vMerge w:val="restart"/>
            <w:tcBorders>
              <w:top w:val="double" w:sz="4" w:space="0" w:color="auto"/>
            </w:tcBorders>
            <w:shd w:val="clear" w:color="auto" w:fill="F2F2F2" w:themeFill="background1" w:themeFillShade="F2"/>
            <w:vAlign w:val="center"/>
          </w:tcPr>
          <w:p w14:paraId="78510555" w14:textId="77777777" w:rsidR="000369BF" w:rsidRPr="00E427A0" w:rsidRDefault="000369BF" w:rsidP="000369BF">
            <w:pPr>
              <w:spacing w:before="0" w:after="60"/>
              <w:jc w:val="center"/>
            </w:pPr>
            <w:r w:rsidRPr="00E427A0">
              <w:t>FR2</w:t>
            </w:r>
          </w:p>
        </w:tc>
        <w:tc>
          <w:tcPr>
            <w:tcW w:w="630" w:type="dxa"/>
            <w:tcBorders>
              <w:top w:val="double" w:sz="4" w:space="0" w:color="auto"/>
              <w:right w:val="double" w:sz="4" w:space="0" w:color="auto"/>
            </w:tcBorders>
            <w:shd w:val="clear" w:color="auto" w:fill="F2F2F2" w:themeFill="background1" w:themeFillShade="F2"/>
            <w:vAlign w:val="center"/>
          </w:tcPr>
          <w:p w14:paraId="57468F81" w14:textId="77777777" w:rsidR="000369BF" w:rsidRPr="00E427A0" w:rsidRDefault="000369BF" w:rsidP="000369BF">
            <w:pPr>
              <w:spacing w:before="0" w:after="60"/>
              <w:jc w:val="center"/>
            </w:pPr>
            <w:r w:rsidRPr="00E427A0">
              <w:t>1</w:t>
            </w:r>
          </w:p>
        </w:tc>
        <w:tc>
          <w:tcPr>
            <w:tcW w:w="1165" w:type="dxa"/>
            <w:tcBorders>
              <w:top w:val="double" w:sz="4" w:space="0" w:color="auto"/>
              <w:left w:val="double" w:sz="4" w:space="0" w:color="auto"/>
            </w:tcBorders>
            <w:vAlign w:val="center"/>
          </w:tcPr>
          <w:p w14:paraId="48FC2AFE" w14:textId="77777777" w:rsidR="000369BF" w:rsidRPr="000B74A8" w:rsidRDefault="000369BF" w:rsidP="000369BF">
            <w:pPr>
              <w:spacing w:before="0" w:after="60"/>
              <w:jc w:val="center"/>
              <w:rPr>
                <w:color w:val="000000" w:themeColor="text1"/>
              </w:rPr>
            </w:pPr>
            <w:r w:rsidRPr="000B74A8">
              <w:t>177.08</w:t>
            </w:r>
          </w:p>
        </w:tc>
        <w:tc>
          <w:tcPr>
            <w:tcW w:w="1170" w:type="dxa"/>
            <w:tcBorders>
              <w:top w:val="double" w:sz="4" w:space="0" w:color="auto"/>
            </w:tcBorders>
            <w:vAlign w:val="center"/>
          </w:tcPr>
          <w:p w14:paraId="0D0A3808" w14:textId="5B53B05A" w:rsidR="000369BF" w:rsidRPr="000307BB" w:rsidRDefault="000369BF" w:rsidP="000307BB">
            <w:pPr>
              <w:spacing w:before="0" w:after="60"/>
              <w:jc w:val="center"/>
            </w:pPr>
            <w:r w:rsidRPr="000307BB">
              <w:rPr>
                <w:color w:val="000000"/>
              </w:rPr>
              <w:t>12.96</w:t>
            </w:r>
          </w:p>
        </w:tc>
        <w:tc>
          <w:tcPr>
            <w:tcW w:w="1688" w:type="dxa"/>
            <w:tcBorders>
              <w:top w:val="double" w:sz="4" w:space="0" w:color="auto"/>
            </w:tcBorders>
            <w:vAlign w:val="center"/>
          </w:tcPr>
          <w:p w14:paraId="5C1431A5" w14:textId="49D159C3" w:rsidR="000369BF" w:rsidRPr="000307BB" w:rsidRDefault="000369BF" w:rsidP="000307BB">
            <w:pPr>
              <w:spacing w:before="0" w:after="60"/>
              <w:jc w:val="center"/>
              <w:rPr>
                <w:color w:val="000000" w:themeColor="text1"/>
              </w:rPr>
            </w:pPr>
            <w:r w:rsidRPr="000307BB">
              <w:rPr>
                <w:color w:val="000000"/>
              </w:rPr>
              <w:t>9.07</w:t>
            </w:r>
            <w:r w:rsidR="000F7632" w:rsidRPr="000307BB">
              <w:rPr>
                <w:color w:val="000000"/>
              </w:rPr>
              <w:t xml:space="preserve"> (30.00 %)</w:t>
            </w:r>
          </w:p>
        </w:tc>
        <w:tc>
          <w:tcPr>
            <w:tcW w:w="1689" w:type="dxa"/>
            <w:tcBorders>
              <w:top w:val="double" w:sz="4" w:space="0" w:color="auto"/>
            </w:tcBorders>
            <w:vAlign w:val="center"/>
          </w:tcPr>
          <w:p w14:paraId="0DC15D43" w14:textId="061FB7C2" w:rsidR="000369BF" w:rsidRPr="000307BB" w:rsidRDefault="000369BF" w:rsidP="000307BB">
            <w:pPr>
              <w:spacing w:before="0" w:after="60"/>
              <w:jc w:val="center"/>
            </w:pPr>
            <w:r w:rsidRPr="000307BB">
              <w:rPr>
                <w:color w:val="000000"/>
              </w:rPr>
              <w:t>8.36</w:t>
            </w:r>
            <w:r w:rsidR="002B050F" w:rsidRPr="000307BB">
              <w:rPr>
                <w:color w:val="000000"/>
              </w:rPr>
              <w:t xml:space="preserve"> (35.45 %)</w:t>
            </w:r>
          </w:p>
        </w:tc>
        <w:tc>
          <w:tcPr>
            <w:tcW w:w="1689" w:type="dxa"/>
            <w:tcBorders>
              <w:top w:val="double" w:sz="4" w:space="0" w:color="auto"/>
              <w:bottom w:val="single" w:sz="4" w:space="0" w:color="auto"/>
            </w:tcBorders>
            <w:vAlign w:val="center"/>
          </w:tcPr>
          <w:p w14:paraId="4E239068" w14:textId="34572AA0" w:rsidR="000369BF" w:rsidRPr="000307BB" w:rsidRDefault="000369BF" w:rsidP="000307BB">
            <w:pPr>
              <w:spacing w:before="0" w:after="60"/>
              <w:jc w:val="center"/>
              <w:rPr>
                <w:color w:val="000000" w:themeColor="text1"/>
              </w:rPr>
            </w:pPr>
            <w:r w:rsidRPr="000307BB">
              <w:rPr>
                <w:color w:val="000000"/>
              </w:rPr>
              <w:t>7.32</w:t>
            </w:r>
            <w:r w:rsidR="00AE7BF1" w:rsidRPr="000307BB">
              <w:rPr>
                <w:color w:val="000000"/>
              </w:rPr>
              <w:t xml:space="preserve"> (43.50 %)</w:t>
            </w:r>
          </w:p>
        </w:tc>
      </w:tr>
      <w:tr w:rsidR="000369BF" w:rsidRPr="00305B64" w14:paraId="274C6B2B" w14:textId="77777777" w:rsidTr="000307BB">
        <w:trPr>
          <w:jc w:val="center"/>
        </w:trPr>
        <w:tc>
          <w:tcPr>
            <w:tcW w:w="630" w:type="dxa"/>
            <w:vMerge/>
            <w:shd w:val="clear" w:color="auto" w:fill="F2F2F2" w:themeFill="background1" w:themeFillShade="F2"/>
            <w:vAlign w:val="center"/>
          </w:tcPr>
          <w:p w14:paraId="2E9D3FA3" w14:textId="77777777" w:rsidR="000369BF" w:rsidRPr="00E427A0" w:rsidRDefault="000369BF" w:rsidP="000369BF">
            <w:pPr>
              <w:spacing w:before="0" w:after="60"/>
              <w:jc w:val="center"/>
            </w:pPr>
          </w:p>
        </w:tc>
        <w:tc>
          <w:tcPr>
            <w:tcW w:w="630" w:type="dxa"/>
            <w:tcBorders>
              <w:right w:val="double" w:sz="4" w:space="0" w:color="auto"/>
            </w:tcBorders>
            <w:shd w:val="clear" w:color="auto" w:fill="F2F2F2" w:themeFill="background1" w:themeFillShade="F2"/>
            <w:vAlign w:val="center"/>
          </w:tcPr>
          <w:p w14:paraId="619F258E" w14:textId="77777777" w:rsidR="000369BF" w:rsidRPr="00E427A0" w:rsidRDefault="000369BF" w:rsidP="000369BF">
            <w:pPr>
              <w:spacing w:before="0" w:after="60"/>
              <w:jc w:val="center"/>
            </w:pPr>
            <w:r w:rsidRPr="00E427A0">
              <w:t>2</w:t>
            </w:r>
          </w:p>
        </w:tc>
        <w:tc>
          <w:tcPr>
            <w:tcW w:w="1165" w:type="dxa"/>
            <w:tcBorders>
              <w:left w:val="double" w:sz="4" w:space="0" w:color="auto"/>
            </w:tcBorders>
            <w:vAlign w:val="center"/>
          </w:tcPr>
          <w:p w14:paraId="3170B485" w14:textId="77777777" w:rsidR="000369BF" w:rsidRPr="000B74A8" w:rsidRDefault="000369BF" w:rsidP="000369BF">
            <w:pPr>
              <w:spacing w:before="0" w:after="60"/>
              <w:jc w:val="center"/>
            </w:pPr>
            <w:r w:rsidRPr="000B74A8">
              <w:t>112.84</w:t>
            </w:r>
          </w:p>
        </w:tc>
        <w:tc>
          <w:tcPr>
            <w:tcW w:w="1170" w:type="dxa"/>
            <w:vAlign w:val="center"/>
          </w:tcPr>
          <w:p w14:paraId="4BCA166D" w14:textId="2D12A54D" w:rsidR="000369BF" w:rsidRPr="000307BB" w:rsidRDefault="000369BF" w:rsidP="000307BB">
            <w:pPr>
              <w:spacing w:before="0" w:after="60"/>
              <w:jc w:val="center"/>
            </w:pPr>
            <w:r w:rsidRPr="000307BB">
              <w:rPr>
                <w:color w:val="000000"/>
              </w:rPr>
              <w:t>10.89</w:t>
            </w:r>
          </w:p>
        </w:tc>
        <w:tc>
          <w:tcPr>
            <w:tcW w:w="1688" w:type="dxa"/>
            <w:vAlign w:val="center"/>
          </w:tcPr>
          <w:p w14:paraId="22CB31B6" w14:textId="02E7E57D" w:rsidR="000369BF" w:rsidRPr="000307BB" w:rsidRDefault="000369BF" w:rsidP="000307BB">
            <w:pPr>
              <w:spacing w:before="0" w:after="60"/>
              <w:jc w:val="center"/>
            </w:pPr>
            <w:r w:rsidRPr="000307BB">
              <w:rPr>
                <w:color w:val="000000"/>
              </w:rPr>
              <w:t>7.93</w:t>
            </w:r>
            <w:r w:rsidR="000F7632" w:rsidRPr="000307BB">
              <w:rPr>
                <w:color w:val="000000"/>
              </w:rPr>
              <w:t xml:space="preserve"> (27.15 %)</w:t>
            </w:r>
          </w:p>
        </w:tc>
        <w:tc>
          <w:tcPr>
            <w:tcW w:w="1689" w:type="dxa"/>
            <w:vAlign w:val="center"/>
          </w:tcPr>
          <w:p w14:paraId="683ECBFC" w14:textId="53397D30" w:rsidR="000369BF" w:rsidRPr="000307BB" w:rsidRDefault="000369BF" w:rsidP="000307BB">
            <w:pPr>
              <w:spacing w:before="0" w:after="60"/>
              <w:jc w:val="center"/>
            </w:pPr>
            <w:r w:rsidRPr="000307BB">
              <w:rPr>
                <w:color w:val="000000"/>
              </w:rPr>
              <w:t>7.62</w:t>
            </w:r>
            <w:r w:rsidR="002B050F" w:rsidRPr="000307BB">
              <w:rPr>
                <w:color w:val="000000"/>
              </w:rPr>
              <w:t xml:space="preserve"> (29.99 %)</w:t>
            </w:r>
          </w:p>
        </w:tc>
        <w:tc>
          <w:tcPr>
            <w:tcW w:w="1689" w:type="dxa"/>
            <w:tcBorders>
              <w:top w:val="single" w:sz="4" w:space="0" w:color="auto"/>
              <w:bottom w:val="single" w:sz="4" w:space="0" w:color="auto"/>
            </w:tcBorders>
            <w:vAlign w:val="center"/>
          </w:tcPr>
          <w:p w14:paraId="4C247D94" w14:textId="6A8A0088" w:rsidR="000369BF" w:rsidRPr="000307BB" w:rsidRDefault="000369BF" w:rsidP="000307BB">
            <w:pPr>
              <w:spacing w:before="0" w:after="60"/>
              <w:jc w:val="center"/>
            </w:pPr>
            <w:r w:rsidRPr="000307BB">
              <w:rPr>
                <w:color w:val="000000"/>
              </w:rPr>
              <w:t>7.16</w:t>
            </w:r>
            <w:r w:rsidR="00AE7BF1" w:rsidRPr="000307BB">
              <w:rPr>
                <w:color w:val="000000"/>
              </w:rPr>
              <w:t xml:space="preserve"> (34.19 %)</w:t>
            </w:r>
          </w:p>
        </w:tc>
      </w:tr>
      <w:tr w:rsidR="000369BF" w:rsidRPr="00305B64" w14:paraId="5011CE35" w14:textId="77777777" w:rsidTr="000307BB">
        <w:trPr>
          <w:jc w:val="center"/>
        </w:trPr>
        <w:tc>
          <w:tcPr>
            <w:tcW w:w="630" w:type="dxa"/>
            <w:vMerge/>
            <w:shd w:val="clear" w:color="auto" w:fill="F2F2F2" w:themeFill="background1" w:themeFillShade="F2"/>
            <w:vAlign w:val="center"/>
          </w:tcPr>
          <w:p w14:paraId="39B82B5C" w14:textId="77777777" w:rsidR="000369BF" w:rsidRPr="00E427A0" w:rsidRDefault="000369BF" w:rsidP="000369BF">
            <w:pPr>
              <w:spacing w:before="0" w:after="60"/>
              <w:jc w:val="center"/>
            </w:pPr>
          </w:p>
        </w:tc>
        <w:tc>
          <w:tcPr>
            <w:tcW w:w="630" w:type="dxa"/>
            <w:tcBorders>
              <w:right w:val="double" w:sz="4" w:space="0" w:color="auto"/>
            </w:tcBorders>
            <w:shd w:val="clear" w:color="auto" w:fill="F2F2F2" w:themeFill="background1" w:themeFillShade="F2"/>
            <w:vAlign w:val="center"/>
          </w:tcPr>
          <w:p w14:paraId="696440FC" w14:textId="77777777" w:rsidR="000369BF" w:rsidRPr="00E427A0" w:rsidRDefault="000369BF" w:rsidP="000369BF">
            <w:pPr>
              <w:spacing w:before="0" w:after="60"/>
              <w:jc w:val="center"/>
            </w:pPr>
            <w:r w:rsidRPr="00E427A0">
              <w:t>4</w:t>
            </w:r>
          </w:p>
        </w:tc>
        <w:tc>
          <w:tcPr>
            <w:tcW w:w="1165" w:type="dxa"/>
            <w:tcBorders>
              <w:left w:val="double" w:sz="4" w:space="0" w:color="auto"/>
            </w:tcBorders>
            <w:vAlign w:val="center"/>
          </w:tcPr>
          <w:p w14:paraId="461DF836" w14:textId="77777777" w:rsidR="000369BF" w:rsidRPr="000B74A8" w:rsidRDefault="000369BF" w:rsidP="000369BF">
            <w:pPr>
              <w:spacing w:before="0" w:after="60"/>
              <w:jc w:val="center"/>
            </w:pPr>
            <w:r w:rsidRPr="000B74A8">
              <w:t>80.72</w:t>
            </w:r>
          </w:p>
        </w:tc>
        <w:tc>
          <w:tcPr>
            <w:tcW w:w="1170" w:type="dxa"/>
            <w:vAlign w:val="center"/>
          </w:tcPr>
          <w:p w14:paraId="06C80258" w14:textId="520C59CE" w:rsidR="000369BF" w:rsidRPr="000307BB" w:rsidRDefault="000369BF" w:rsidP="000307BB">
            <w:pPr>
              <w:spacing w:before="0" w:after="60"/>
              <w:jc w:val="center"/>
            </w:pPr>
            <w:r w:rsidRPr="000307BB">
              <w:rPr>
                <w:color w:val="000000"/>
              </w:rPr>
              <w:t>9.81</w:t>
            </w:r>
          </w:p>
        </w:tc>
        <w:tc>
          <w:tcPr>
            <w:tcW w:w="1688" w:type="dxa"/>
            <w:vAlign w:val="center"/>
          </w:tcPr>
          <w:p w14:paraId="420E8B76" w14:textId="6D7F3913" w:rsidR="000369BF" w:rsidRPr="000307BB" w:rsidRDefault="000369BF" w:rsidP="000307BB">
            <w:pPr>
              <w:spacing w:before="0" w:after="60"/>
              <w:jc w:val="center"/>
            </w:pPr>
            <w:r w:rsidRPr="000307BB">
              <w:rPr>
                <w:color w:val="000000"/>
              </w:rPr>
              <w:t>7.34</w:t>
            </w:r>
            <w:r w:rsidR="000F7632" w:rsidRPr="000307BB">
              <w:rPr>
                <w:color w:val="000000"/>
              </w:rPr>
              <w:t xml:space="preserve"> (25.18 %)</w:t>
            </w:r>
          </w:p>
        </w:tc>
        <w:tc>
          <w:tcPr>
            <w:tcW w:w="1689" w:type="dxa"/>
            <w:vAlign w:val="center"/>
          </w:tcPr>
          <w:p w14:paraId="43090F20" w14:textId="66D4FF6E" w:rsidR="000369BF" w:rsidRPr="000307BB" w:rsidRDefault="000369BF" w:rsidP="000307BB">
            <w:pPr>
              <w:spacing w:before="0" w:after="60"/>
              <w:jc w:val="center"/>
            </w:pPr>
            <w:r w:rsidRPr="000307BB">
              <w:rPr>
                <w:color w:val="000000"/>
              </w:rPr>
              <w:t>7.23</w:t>
            </w:r>
            <w:r w:rsidR="002B050F" w:rsidRPr="000307BB">
              <w:rPr>
                <w:color w:val="000000"/>
              </w:rPr>
              <w:t xml:space="preserve"> (26.28 %)</w:t>
            </w:r>
          </w:p>
        </w:tc>
        <w:tc>
          <w:tcPr>
            <w:tcW w:w="1689" w:type="dxa"/>
            <w:tcBorders>
              <w:top w:val="single" w:sz="4" w:space="0" w:color="auto"/>
              <w:bottom w:val="single" w:sz="4" w:space="0" w:color="auto"/>
            </w:tcBorders>
            <w:vAlign w:val="center"/>
          </w:tcPr>
          <w:p w14:paraId="4D960F9F" w14:textId="4F0A9163" w:rsidR="000369BF" w:rsidRPr="000307BB" w:rsidRDefault="000369BF" w:rsidP="000307BB">
            <w:pPr>
              <w:spacing w:before="0" w:after="60"/>
              <w:jc w:val="center"/>
            </w:pPr>
            <w:r w:rsidRPr="000307BB">
              <w:rPr>
                <w:color w:val="000000"/>
              </w:rPr>
              <w:t>7.07</w:t>
            </w:r>
            <w:r w:rsidR="00AE7BF1" w:rsidRPr="000307BB">
              <w:rPr>
                <w:color w:val="000000"/>
              </w:rPr>
              <w:t xml:space="preserve"> (27.91 %)</w:t>
            </w:r>
          </w:p>
        </w:tc>
      </w:tr>
    </w:tbl>
    <w:p w14:paraId="05AB8DFE" w14:textId="77777777" w:rsidR="002D2DD4" w:rsidRDefault="002D2DD4" w:rsidP="00E7612F">
      <w:pPr>
        <w:spacing w:before="120"/>
      </w:pPr>
    </w:p>
    <w:p w14:paraId="16D7CB71" w14:textId="486E7F2A" w:rsidR="00D80615" w:rsidRDefault="004F0012" w:rsidP="004F0012">
      <w:pPr>
        <w:pStyle w:val="Caption"/>
      </w:pPr>
      <w:bookmarkStart w:id="15" w:name="_Toc54383024"/>
      <w:r>
        <w:t xml:space="preserve">Observation </w:t>
      </w:r>
      <w:fldSimple w:instr=" SEQ Observation \* ARABIC ">
        <w:r w:rsidR="00AD3BE1">
          <w:rPr>
            <w:noProof/>
          </w:rPr>
          <w:t>2</w:t>
        </w:r>
      </w:fldSimple>
      <w:r>
        <w:t xml:space="preserve">: Scheduling DCI-based PDCCH skip indication provides ~10% additional power saving gain over Rel-15 and Rel-16 power saving schemes, including DRX with Short and Long cycles, WUS, </w:t>
      </w:r>
      <w:r w:rsidR="008E3A03">
        <w:t xml:space="preserve">and </w:t>
      </w:r>
      <w:r w:rsidR="0051550E">
        <w:t>cross-slot scheduling adaptation.</w:t>
      </w:r>
      <w:bookmarkEnd w:id="15"/>
    </w:p>
    <w:p w14:paraId="470425AB" w14:textId="77777777" w:rsidR="00890A0B" w:rsidRPr="00BC70FB" w:rsidRDefault="00890A0B" w:rsidP="00BC70FB">
      <w:pPr>
        <w:rPr>
          <w:lang w:val="en-GB"/>
        </w:rPr>
      </w:pPr>
    </w:p>
    <w:p w14:paraId="75F2561A" w14:textId="3200ACE8" w:rsidR="00374C61" w:rsidRPr="000F6168" w:rsidRDefault="00374C61" w:rsidP="00374C61">
      <w:pPr>
        <w:pStyle w:val="Heading1"/>
        <w:rPr>
          <w:lang w:val="en-US"/>
        </w:rPr>
      </w:pPr>
      <w:r w:rsidRPr="000F6168">
        <w:rPr>
          <w:lang w:val="en-US"/>
        </w:rPr>
        <w:t>Conclusions</w:t>
      </w:r>
    </w:p>
    <w:p w14:paraId="1FD50F60" w14:textId="77777777" w:rsidR="00AD3BE1" w:rsidRDefault="005A3D27">
      <w:pPr>
        <w:pStyle w:val="TableofFigures"/>
        <w:tabs>
          <w:tab w:val="right" w:leader="dot" w:pos="9962"/>
        </w:tabs>
        <w:rPr>
          <w:rFonts w:asciiTheme="minorHAnsi" w:eastAsiaTheme="minorEastAsia" w:hAnsiTheme="minorHAnsi" w:cstheme="minorBidi"/>
          <w:noProof/>
          <w:sz w:val="22"/>
          <w:szCs w:val="22"/>
          <w:lang w:eastAsia="ko-KR"/>
        </w:rPr>
      </w:pPr>
      <w:r w:rsidRPr="000F6168">
        <w:fldChar w:fldCharType="begin"/>
      </w:r>
      <w:r w:rsidRPr="000F6168">
        <w:instrText xml:space="preserve"> TOC \n \h \z \c "Observation" </w:instrText>
      </w:r>
      <w:r w:rsidRPr="000F6168">
        <w:fldChar w:fldCharType="separate"/>
      </w:r>
      <w:hyperlink w:anchor="_Toc54383023" w:history="1">
        <w:r w:rsidR="00AD3BE1" w:rsidRPr="00293F8C">
          <w:rPr>
            <w:rStyle w:val="Hyperlink"/>
            <w:noProof/>
          </w:rPr>
          <w:t>Observation 1: Rel-16 search space set switching feature can be reused for Rel-17 connected-mode power saving.</w:t>
        </w:r>
      </w:hyperlink>
    </w:p>
    <w:p w14:paraId="4BBB9B2F" w14:textId="77777777" w:rsidR="00AD3BE1" w:rsidRDefault="00AD3BE1">
      <w:pPr>
        <w:pStyle w:val="TableofFigures"/>
        <w:tabs>
          <w:tab w:val="right" w:leader="dot" w:pos="9962"/>
        </w:tabs>
        <w:rPr>
          <w:rFonts w:asciiTheme="minorHAnsi" w:eastAsiaTheme="minorEastAsia" w:hAnsiTheme="minorHAnsi" w:cstheme="minorBidi"/>
          <w:noProof/>
          <w:sz w:val="22"/>
          <w:szCs w:val="22"/>
          <w:lang w:eastAsia="ko-KR"/>
        </w:rPr>
      </w:pPr>
      <w:hyperlink w:anchor="_Toc54383024" w:history="1">
        <w:r w:rsidRPr="00293F8C">
          <w:rPr>
            <w:rStyle w:val="Hyperlink"/>
            <w:noProof/>
          </w:rPr>
          <w:t>Observation 2: Scheduling DCI-based PDCCH skip indication provides ~10% additional power saving gain over Rel-15 and Rel-16 power saving schemes, including DRX with Short and Long cycles, WUS, and cross-slot scheduling adaptation.</w:t>
        </w:r>
      </w:hyperlink>
    </w:p>
    <w:p w14:paraId="1612DDFE" w14:textId="773D3496" w:rsidR="005A3D27" w:rsidRPr="000F6168" w:rsidRDefault="005A3D27">
      <w:pPr>
        <w:pStyle w:val="TableofFigures"/>
        <w:tabs>
          <w:tab w:val="right" w:leader="dot" w:pos="9962"/>
        </w:tabs>
      </w:pPr>
      <w:r w:rsidRPr="000F6168">
        <w:fldChar w:fldCharType="end"/>
      </w:r>
    </w:p>
    <w:p w14:paraId="3D89DBC6" w14:textId="77777777" w:rsidR="00AD3BE1" w:rsidRDefault="00374C61">
      <w:pPr>
        <w:pStyle w:val="TableofFigures"/>
        <w:tabs>
          <w:tab w:val="right" w:leader="dot" w:pos="9962"/>
        </w:tabs>
        <w:rPr>
          <w:rFonts w:asciiTheme="minorHAnsi" w:eastAsiaTheme="minorEastAsia" w:hAnsiTheme="minorHAnsi" w:cstheme="minorBidi"/>
          <w:noProof/>
          <w:sz w:val="22"/>
          <w:szCs w:val="22"/>
          <w:lang w:eastAsia="ko-KR"/>
        </w:rPr>
      </w:pPr>
      <w:r w:rsidRPr="000F6168">
        <w:fldChar w:fldCharType="begin"/>
      </w:r>
      <w:r w:rsidRPr="000F6168">
        <w:instrText xml:space="preserve"> TOC \n \h \z \c "Proposal" </w:instrText>
      </w:r>
      <w:r w:rsidRPr="000F6168">
        <w:fldChar w:fldCharType="separate"/>
      </w:r>
      <w:hyperlink w:anchor="_Toc54383025" w:history="1">
        <w:r w:rsidR="00AD3BE1" w:rsidRPr="007D255C">
          <w:rPr>
            <w:rStyle w:val="Hyperlink"/>
            <w:noProof/>
          </w:rPr>
          <w:t>Proposal 1: A search space set switching mechanism by a scheduling DCI and/or DCI format 2_6 is considered as a Rel-17 connected-mode power saving scheme.</w:t>
        </w:r>
      </w:hyperlink>
    </w:p>
    <w:p w14:paraId="6CC0FE83" w14:textId="77777777" w:rsidR="00AD3BE1" w:rsidRDefault="00AD3BE1">
      <w:pPr>
        <w:pStyle w:val="TableofFigures"/>
        <w:tabs>
          <w:tab w:val="right" w:leader="dot" w:pos="9962"/>
        </w:tabs>
        <w:rPr>
          <w:rFonts w:asciiTheme="minorHAnsi" w:eastAsiaTheme="minorEastAsia" w:hAnsiTheme="minorHAnsi" w:cstheme="minorBidi"/>
          <w:noProof/>
          <w:sz w:val="22"/>
          <w:szCs w:val="22"/>
          <w:lang w:eastAsia="ko-KR"/>
        </w:rPr>
      </w:pPr>
      <w:hyperlink w:anchor="_Toc54383026" w:history="1">
        <w:r w:rsidRPr="007D255C">
          <w:rPr>
            <w:rStyle w:val="Hyperlink"/>
            <w:noProof/>
          </w:rPr>
          <w:t>Proposal 2: Scheduling DCI-based PDCCH skip indication is considered as a Rel-17 connected-mode power saving scheme. During the indicated skip duration, the UE can still monitor PDCCH in a discontinuous manner to handle potential HARQ retransmissions.</w:t>
        </w:r>
      </w:hyperlink>
    </w:p>
    <w:p w14:paraId="1DFC7AFC" w14:textId="42F0E1A6" w:rsidR="00374C61" w:rsidRPr="000F6168" w:rsidRDefault="00374C61" w:rsidP="00832685">
      <w:r w:rsidRPr="000F6168">
        <w:fldChar w:fldCharType="end"/>
      </w:r>
    </w:p>
    <w:p w14:paraId="7662BBF9" w14:textId="77777777" w:rsidR="002E4881" w:rsidRPr="000F6168" w:rsidRDefault="002E4881" w:rsidP="00C1077F">
      <w:pPr>
        <w:pStyle w:val="Heading1"/>
        <w:rPr>
          <w:lang w:val="en-US"/>
        </w:rPr>
      </w:pPr>
      <w:r w:rsidRPr="000F6168">
        <w:rPr>
          <w:lang w:val="en-US"/>
        </w:rPr>
        <w:t>References</w:t>
      </w:r>
    </w:p>
    <w:p w14:paraId="53306CC3" w14:textId="223D0F1D" w:rsidR="00AA70AB" w:rsidRDefault="00AA70AB" w:rsidP="004B26B6">
      <w:pPr>
        <w:pStyle w:val="ListParagraph"/>
        <w:numPr>
          <w:ilvl w:val="0"/>
          <w:numId w:val="2"/>
        </w:numPr>
        <w:rPr>
          <w:rFonts w:eastAsia="SimSun"/>
          <w:szCs w:val="20"/>
        </w:rPr>
      </w:pPr>
      <w:bookmarkStart w:id="16" w:name="_Ref47396664"/>
      <w:bookmarkStart w:id="17" w:name="_Ref534216161"/>
      <w:bookmarkStart w:id="18" w:name="_Hlk534618356"/>
      <w:r w:rsidRPr="000F6168">
        <w:rPr>
          <w:rFonts w:eastAsia="SimSun"/>
          <w:szCs w:val="20"/>
        </w:rPr>
        <w:t>RP-</w:t>
      </w:r>
      <w:r w:rsidR="00AF0DC7" w:rsidRPr="000F6168">
        <w:rPr>
          <w:rFonts w:eastAsia="SimSun"/>
          <w:szCs w:val="20"/>
        </w:rPr>
        <w:t>200938, “Revised WID</w:t>
      </w:r>
      <w:r w:rsidR="007225A7" w:rsidRPr="000F6168">
        <w:rPr>
          <w:rFonts w:eastAsia="SimSun"/>
          <w:szCs w:val="20"/>
        </w:rPr>
        <w:t xml:space="preserve"> UE Power Saving Enhancement for NR”, RAN #88e, MediaTek Inc.</w:t>
      </w:r>
      <w:bookmarkEnd w:id="16"/>
    </w:p>
    <w:p w14:paraId="1B799A23" w14:textId="2B07C0B2" w:rsidR="0002462D" w:rsidRPr="000F6168" w:rsidRDefault="003E0D48" w:rsidP="004B26B6">
      <w:pPr>
        <w:pStyle w:val="ListParagraph"/>
        <w:numPr>
          <w:ilvl w:val="0"/>
          <w:numId w:val="2"/>
        </w:numPr>
        <w:rPr>
          <w:rFonts w:eastAsia="SimSun"/>
          <w:szCs w:val="20"/>
        </w:rPr>
      </w:pPr>
      <w:bookmarkStart w:id="19" w:name="_Ref53944606"/>
      <w:r>
        <w:rPr>
          <w:rFonts w:eastAsia="SimSun"/>
          <w:szCs w:val="20"/>
        </w:rPr>
        <w:t xml:space="preserve">R1-2007419, “LS on evaluation methodology for connected mode UE power saving enhancements”, RAN1 #102-e, </w:t>
      </w:r>
      <w:r w:rsidR="006D4E69">
        <w:rPr>
          <w:rFonts w:eastAsia="SimSun"/>
          <w:szCs w:val="20"/>
        </w:rPr>
        <w:t>v</w:t>
      </w:r>
      <w:r w:rsidR="00725BE9">
        <w:rPr>
          <w:rFonts w:eastAsia="SimSun"/>
          <w:szCs w:val="20"/>
        </w:rPr>
        <w:t>ivo.</w:t>
      </w:r>
      <w:bookmarkEnd w:id="19"/>
    </w:p>
    <w:bookmarkEnd w:id="17"/>
    <w:bookmarkEnd w:id="18"/>
    <w:bookmarkEnd w:id="1"/>
    <w:p w14:paraId="36B26E55" w14:textId="77777777" w:rsidR="000062DA" w:rsidRPr="000F6168" w:rsidRDefault="000062DA" w:rsidP="000062DA">
      <w:pPr>
        <w:overflowPunct/>
        <w:autoSpaceDE/>
        <w:autoSpaceDN/>
        <w:adjustRightInd/>
        <w:spacing w:after="0"/>
        <w:textAlignment w:val="auto"/>
      </w:pPr>
    </w:p>
    <w:sectPr w:rsidR="000062DA" w:rsidRPr="000F6168" w:rsidSect="00013353">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1850" w16cex:dateUtc="2020-05-14T08:07:00Z"/>
  <w16cex:commentExtensible w16cex:durableId="22671660" w16cex:dateUtc="2020-05-14T07:59:00Z"/>
  <w16cex:commentExtensible w16cex:durableId="22671725" w16cex:dateUtc="2020-05-14T08: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9BE9D" w14:textId="77777777" w:rsidR="002D2DD4" w:rsidRDefault="002D2DD4">
      <w:r>
        <w:separator/>
      </w:r>
    </w:p>
  </w:endnote>
  <w:endnote w:type="continuationSeparator" w:id="0">
    <w:p w14:paraId="6AFC82CD" w14:textId="77777777" w:rsidR="002D2DD4" w:rsidRDefault="002D2DD4">
      <w:r>
        <w:continuationSeparator/>
      </w:r>
    </w:p>
  </w:endnote>
  <w:endnote w:type="continuationNotice" w:id="1">
    <w:p w14:paraId="6191C8CC" w14:textId="77777777" w:rsidR="002D2DD4" w:rsidRDefault="002D2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2D2DD4" w:rsidRDefault="002D2DD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D2DD4" w:rsidRDefault="002D2DD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2D2DD4" w:rsidRDefault="002D2DD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2E488" w14:textId="77777777" w:rsidR="002D2DD4" w:rsidRDefault="002D2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95E1C" w14:textId="77777777" w:rsidR="002D2DD4" w:rsidRDefault="002D2DD4">
      <w:r>
        <w:separator/>
      </w:r>
    </w:p>
  </w:footnote>
  <w:footnote w:type="continuationSeparator" w:id="0">
    <w:p w14:paraId="25119411" w14:textId="77777777" w:rsidR="002D2DD4" w:rsidRDefault="002D2DD4">
      <w:r>
        <w:continuationSeparator/>
      </w:r>
    </w:p>
  </w:footnote>
  <w:footnote w:type="continuationNotice" w:id="1">
    <w:p w14:paraId="365CB559" w14:textId="77777777" w:rsidR="002D2DD4" w:rsidRDefault="002D2D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2D2DD4" w:rsidRDefault="002D2DD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0B6C2" w14:textId="77777777" w:rsidR="002D2DD4" w:rsidRDefault="002D2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022FF" w14:textId="77777777" w:rsidR="002D2DD4" w:rsidRDefault="002D2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0"/>
  </w:num>
  <w:num w:numId="3">
    <w:abstractNumId w:val="1"/>
  </w:num>
  <w:num w:numId="4">
    <w:abstractNumId w:val="5"/>
  </w:num>
  <w:num w:numId="5">
    <w:abstractNumId w:val="9"/>
  </w:num>
  <w:num w:numId="6">
    <w:abstractNumId w:val="10"/>
  </w:num>
  <w:num w:numId="7">
    <w:abstractNumId w:val="11"/>
  </w:num>
  <w:num w:numId="8">
    <w:abstractNumId w:val="8"/>
  </w:num>
  <w:num w:numId="9">
    <w:abstractNumId w:val="12"/>
  </w:num>
  <w:num w:numId="10">
    <w:abstractNumId w:val="3"/>
  </w:num>
  <w:num w:numId="11">
    <w:abstractNumId w:val="7"/>
  </w:num>
  <w:num w:numId="12">
    <w:abstractNumId w:val="2"/>
  </w:num>
  <w:num w:numId="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B02"/>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EF4"/>
    <w:rsid w:val="0000403F"/>
    <w:rsid w:val="000042C3"/>
    <w:rsid w:val="00004885"/>
    <w:rsid w:val="0000499E"/>
    <w:rsid w:val="00004D8C"/>
    <w:rsid w:val="00004DCB"/>
    <w:rsid w:val="000051F0"/>
    <w:rsid w:val="00005269"/>
    <w:rsid w:val="00005499"/>
    <w:rsid w:val="0000553B"/>
    <w:rsid w:val="00005F7B"/>
    <w:rsid w:val="000062D2"/>
    <w:rsid w:val="000062DA"/>
    <w:rsid w:val="000063BC"/>
    <w:rsid w:val="000065CC"/>
    <w:rsid w:val="000066F3"/>
    <w:rsid w:val="00006780"/>
    <w:rsid w:val="00006C7A"/>
    <w:rsid w:val="00007495"/>
    <w:rsid w:val="0000773C"/>
    <w:rsid w:val="0000792C"/>
    <w:rsid w:val="00007B4B"/>
    <w:rsid w:val="00007D2E"/>
    <w:rsid w:val="00010061"/>
    <w:rsid w:val="000101EF"/>
    <w:rsid w:val="00010462"/>
    <w:rsid w:val="000109F1"/>
    <w:rsid w:val="00010A5C"/>
    <w:rsid w:val="00010E97"/>
    <w:rsid w:val="00010F61"/>
    <w:rsid w:val="00010FD1"/>
    <w:rsid w:val="000110B2"/>
    <w:rsid w:val="0001117C"/>
    <w:rsid w:val="00011185"/>
    <w:rsid w:val="0001137B"/>
    <w:rsid w:val="000116BF"/>
    <w:rsid w:val="00011A8E"/>
    <w:rsid w:val="00012010"/>
    <w:rsid w:val="0001213E"/>
    <w:rsid w:val="00012296"/>
    <w:rsid w:val="000124D1"/>
    <w:rsid w:val="00012D57"/>
    <w:rsid w:val="0001321B"/>
    <w:rsid w:val="00013353"/>
    <w:rsid w:val="000133A9"/>
    <w:rsid w:val="000137BA"/>
    <w:rsid w:val="00013B63"/>
    <w:rsid w:val="00013BDD"/>
    <w:rsid w:val="00013F64"/>
    <w:rsid w:val="000141F0"/>
    <w:rsid w:val="000145D2"/>
    <w:rsid w:val="00014631"/>
    <w:rsid w:val="00014E0E"/>
    <w:rsid w:val="000159C4"/>
    <w:rsid w:val="00015A7E"/>
    <w:rsid w:val="00015ABC"/>
    <w:rsid w:val="00015BCB"/>
    <w:rsid w:val="00015CED"/>
    <w:rsid w:val="000161C8"/>
    <w:rsid w:val="000162B2"/>
    <w:rsid w:val="0001645D"/>
    <w:rsid w:val="000164BB"/>
    <w:rsid w:val="00016639"/>
    <w:rsid w:val="000167A6"/>
    <w:rsid w:val="00016DCE"/>
    <w:rsid w:val="00017309"/>
    <w:rsid w:val="0001746A"/>
    <w:rsid w:val="00017928"/>
    <w:rsid w:val="00017D6F"/>
    <w:rsid w:val="00017DAB"/>
    <w:rsid w:val="0002002A"/>
    <w:rsid w:val="000201BF"/>
    <w:rsid w:val="000201C1"/>
    <w:rsid w:val="000204C8"/>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62D"/>
    <w:rsid w:val="00024794"/>
    <w:rsid w:val="000248C9"/>
    <w:rsid w:val="000248E2"/>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C7E"/>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432"/>
    <w:rsid w:val="00030619"/>
    <w:rsid w:val="000307BB"/>
    <w:rsid w:val="000307C6"/>
    <w:rsid w:val="000308EA"/>
    <w:rsid w:val="00030A5C"/>
    <w:rsid w:val="00030F74"/>
    <w:rsid w:val="00030F82"/>
    <w:rsid w:val="00030F85"/>
    <w:rsid w:val="000312B4"/>
    <w:rsid w:val="0003134F"/>
    <w:rsid w:val="000313FA"/>
    <w:rsid w:val="000316F8"/>
    <w:rsid w:val="000317B2"/>
    <w:rsid w:val="0003186A"/>
    <w:rsid w:val="00031A96"/>
    <w:rsid w:val="00031D58"/>
    <w:rsid w:val="00031EDD"/>
    <w:rsid w:val="000321DC"/>
    <w:rsid w:val="000325EF"/>
    <w:rsid w:val="000329E9"/>
    <w:rsid w:val="00032A0C"/>
    <w:rsid w:val="00032D20"/>
    <w:rsid w:val="00032F26"/>
    <w:rsid w:val="00032F8C"/>
    <w:rsid w:val="00033102"/>
    <w:rsid w:val="00033CA9"/>
    <w:rsid w:val="00034882"/>
    <w:rsid w:val="000349B7"/>
    <w:rsid w:val="00034A5F"/>
    <w:rsid w:val="00034A9C"/>
    <w:rsid w:val="00034D30"/>
    <w:rsid w:val="000352CF"/>
    <w:rsid w:val="0003540B"/>
    <w:rsid w:val="00035574"/>
    <w:rsid w:val="0003578B"/>
    <w:rsid w:val="0003579F"/>
    <w:rsid w:val="00035963"/>
    <w:rsid w:val="00035A4E"/>
    <w:rsid w:val="00035E08"/>
    <w:rsid w:val="00036199"/>
    <w:rsid w:val="0003623F"/>
    <w:rsid w:val="000365A2"/>
    <w:rsid w:val="0003698E"/>
    <w:rsid w:val="0003699E"/>
    <w:rsid w:val="000369BF"/>
    <w:rsid w:val="00036C45"/>
    <w:rsid w:val="00036FA7"/>
    <w:rsid w:val="000370B4"/>
    <w:rsid w:val="0003723F"/>
    <w:rsid w:val="000377E3"/>
    <w:rsid w:val="00037A21"/>
    <w:rsid w:val="00037C2D"/>
    <w:rsid w:val="000402B6"/>
    <w:rsid w:val="00040450"/>
    <w:rsid w:val="000404F2"/>
    <w:rsid w:val="00040977"/>
    <w:rsid w:val="00040A96"/>
    <w:rsid w:val="00040AAD"/>
    <w:rsid w:val="00040C15"/>
    <w:rsid w:val="00040CEF"/>
    <w:rsid w:val="00040ED9"/>
    <w:rsid w:val="0004137E"/>
    <w:rsid w:val="000413B8"/>
    <w:rsid w:val="000416DE"/>
    <w:rsid w:val="000417DF"/>
    <w:rsid w:val="0004182E"/>
    <w:rsid w:val="000418C8"/>
    <w:rsid w:val="0004198A"/>
    <w:rsid w:val="0004198E"/>
    <w:rsid w:val="00041A91"/>
    <w:rsid w:val="00041B47"/>
    <w:rsid w:val="00041D14"/>
    <w:rsid w:val="00041D52"/>
    <w:rsid w:val="00041EC3"/>
    <w:rsid w:val="0004264B"/>
    <w:rsid w:val="0004298C"/>
    <w:rsid w:val="00042A11"/>
    <w:rsid w:val="00042BFC"/>
    <w:rsid w:val="00043049"/>
    <w:rsid w:val="000430CF"/>
    <w:rsid w:val="00043407"/>
    <w:rsid w:val="00043703"/>
    <w:rsid w:val="000438F3"/>
    <w:rsid w:val="00044225"/>
    <w:rsid w:val="00044576"/>
    <w:rsid w:val="00044872"/>
    <w:rsid w:val="00044C22"/>
    <w:rsid w:val="00044DBF"/>
    <w:rsid w:val="00044F4F"/>
    <w:rsid w:val="00044FC4"/>
    <w:rsid w:val="000451E5"/>
    <w:rsid w:val="000452D6"/>
    <w:rsid w:val="000453F6"/>
    <w:rsid w:val="00045740"/>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93E"/>
    <w:rsid w:val="00051B10"/>
    <w:rsid w:val="00051C85"/>
    <w:rsid w:val="0005201C"/>
    <w:rsid w:val="0005206E"/>
    <w:rsid w:val="0005241E"/>
    <w:rsid w:val="000525B8"/>
    <w:rsid w:val="000525FD"/>
    <w:rsid w:val="0005291A"/>
    <w:rsid w:val="00052AE3"/>
    <w:rsid w:val="00052CD1"/>
    <w:rsid w:val="00052F39"/>
    <w:rsid w:val="0005308C"/>
    <w:rsid w:val="0005309A"/>
    <w:rsid w:val="000531A8"/>
    <w:rsid w:val="000531F5"/>
    <w:rsid w:val="000532B1"/>
    <w:rsid w:val="000532B4"/>
    <w:rsid w:val="000532C1"/>
    <w:rsid w:val="00053849"/>
    <w:rsid w:val="00053A47"/>
    <w:rsid w:val="00053AD4"/>
    <w:rsid w:val="00053B14"/>
    <w:rsid w:val="00053C76"/>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F57"/>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D98"/>
    <w:rsid w:val="00067FE2"/>
    <w:rsid w:val="000700AB"/>
    <w:rsid w:val="00070192"/>
    <w:rsid w:val="00070519"/>
    <w:rsid w:val="00070E14"/>
    <w:rsid w:val="00070FB6"/>
    <w:rsid w:val="0007118F"/>
    <w:rsid w:val="000711C1"/>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07"/>
    <w:rsid w:val="000832D0"/>
    <w:rsid w:val="00083322"/>
    <w:rsid w:val="000834D0"/>
    <w:rsid w:val="000838E5"/>
    <w:rsid w:val="0008399B"/>
    <w:rsid w:val="00083ABE"/>
    <w:rsid w:val="00084255"/>
    <w:rsid w:val="0008461F"/>
    <w:rsid w:val="0008473D"/>
    <w:rsid w:val="00084B80"/>
    <w:rsid w:val="00085239"/>
    <w:rsid w:val="00085535"/>
    <w:rsid w:val="00085F08"/>
    <w:rsid w:val="000862BA"/>
    <w:rsid w:val="000862BF"/>
    <w:rsid w:val="000862F6"/>
    <w:rsid w:val="0008634D"/>
    <w:rsid w:val="0008635A"/>
    <w:rsid w:val="000868B5"/>
    <w:rsid w:val="00086936"/>
    <w:rsid w:val="00086B50"/>
    <w:rsid w:val="00086B78"/>
    <w:rsid w:val="00086C4D"/>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4A1F"/>
    <w:rsid w:val="0009512D"/>
    <w:rsid w:val="000954C6"/>
    <w:rsid w:val="00095671"/>
    <w:rsid w:val="000956BC"/>
    <w:rsid w:val="000957FF"/>
    <w:rsid w:val="00095920"/>
    <w:rsid w:val="00095DA0"/>
    <w:rsid w:val="00095F53"/>
    <w:rsid w:val="00096039"/>
    <w:rsid w:val="000960C2"/>
    <w:rsid w:val="00096146"/>
    <w:rsid w:val="0009644F"/>
    <w:rsid w:val="0009653B"/>
    <w:rsid w:val="000968D8"/>
    <w:rsid w:val="00096D47"/>
    <w:rsid w:val="0009709B"/>
    <w:rsid w:val="000970D0"/>
    <w:rsid w:val="000970E0"/>
    <w:rsid w:val="00097163"/>
    <w:rsid w:val="0009720E"/>
    <w:rsid w:val="00097407"/>
    <w:rsid w:val="000979F0"/>
    <w:rsid w:val="00097AE8"/>
    <w:rsid w:val="000A0013"/>
    <w:rsid w:val="000A02DC"/>
    <w:rsid w:val="000A0926"/>
    <w:rsid w:val="000A09A2"/>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6E4"/>
    <w:rsid w:val="000A2C00"/>
    <w:rsid w:val="000A2D70"/>
    <w:rsid w:val="000A2DA8"/>
    <w:rsid w:val="000A31F7"/>
    <w:rsid w:val="000A3405"/>
    <w:rsid w:val="000A37DD"/>
    <w:rsid w:val="000A39F2"/>
    <w:rsid w:val="000A3ACB"/>
    <w:rsid w:val="000A424D"/>
    <w:rsid w:val="000A49DE"/>
    <w:rsid w:val="000A4B74"/>
    <w:rsid w:val="000A4FEA"/>
    <w:rsid w:val="000A50EC"/>
    <w:rsid w:val="000A527C"/>
    <w:rsid w:val="000A52F5"/>
    <w:rsid w:val="000A54DF"/>
    <w:rsid w:val="000A5796"/>
    <w:rsid w:val="000A5E7A"/>
    <w:rsid w:val="000A5FC2"/>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0FB9"/>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C94"/>
    <w:rsid w:val="000B3F37"/>
    <w:rsid w:val="000B4788"/>
    <w:rsid w:val="000B48A6"/>
    <w:rsid w:val="000B49D7"/>
    <w:rsid w:val="000B4A00"/>
    <w:rsid w:val="000B4CEE"/>
    <w:rsid w:val="000B4FF1"/>
    <w:rsid w:val="000B546F"/>
    <w:rsid w:val="000B5885"/>
    <w:rsid w:val="000B5D4A"/>
    <w:rsid w:val="000B6000"/>
    <w:rsid w:val="000B6030"/>
    <w:rsid w:val="000B6305"/>
    <w:rsid w:val="000B65BE"/>
    <w:rsid w:val="000B684D"/>
    <w:rsid w:val="000B6A8D"/>
    <w:rsid w:val="000B6BDF"/>
    <w:rsid w:val="000B6F56"/>
    <w:rsid w:val="000B71B6"/>
    <w:rsid w:val="000B740F"/>
    <w:rsid w:val="000B7424"/>
    <w:rsid w:val="000B748E"/>
    <w:rsid w:val="000B74A8"/>
    <w:rsid w:val="000B757F"/>
    <w:rsid w:val="000B7859"/>
    <w:rsid w:val="000B7B2B"/>
    <w:rsid w:val="000B7D5E"/>
    <w:rsid w:val="000B7FF8"/>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3FAE"/>
    <w:rsid w:val="000C4065"/>
    <w:rsid w:val="000C4137"/>
    <w:rsid w:val="000C4538"/>
    <w:rsid w:val="000C4851"/>
    <w:rsid w:val="000C487F"/>
    <w:rsid w:val="000C4C76"/>
    <w:rsid w:val="000C5023"/>
    <w:rsid w:val="000C5092"/>
    <w:rsid w:val="000C5351"/>
    <w:rsid w:val="000C5371"/>
    <w:rsid w:val="000C568D"/>
    <w:rsid w:val="000C5759"/>
    <w:rsid w:val="000C5AE3"/>
    <w:rsid w:val="000C5E7D"/>
    <w:rsid w:val="000C63E6"/>
    <w:rsid w:val="000C673C"/>
    <w:rsid w:val="000C68C4"/>
    <w:rsid w:val="000C69F8"/>
    <w:rsid w:val="000C6A01"/>
    <w:rsid w:val="000C6AC8"/>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319"/>
    <w:rsid w:val="000D3441"/>
    <w:rsid w:val="000D362A"/>
    <w:rsid w:val="000D368B"/>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EDF"/>
    <w:rsid w:val="000D7FB8"/>
    <w:rsid w:val="000E011D"/>
    <w:rsid w:val="000E0160"/>
    <w:rsid w:val="000E022B"/>
    <w:rsid w:val="000E03CF"/>
    <w:rsid w:val="000E03F8"/>
    <w:rsid w:val="000E0490"/>
    <w:rsid w:val="000E068C"/>
    <w:rsid w:val="000E0D89"/>
    <w:rsid w:val="000E0E03"/>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ED"/>
    <w:rsid w:val="000E3930"/>
    <w:rsid w:val="000E3986"/>
    <w:rsid w:val="000E3CC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53"/>
    <w:rsid w:val="000E6F62"/>
    <w:rsid w:val="000E75D8"/>
    <w:rsid w:val="000E7C3A"/>
    <w:rsid w:val="000E7CB9"/>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E4"/>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CAF"/>
    <w:rsid w:val="000F4D2F"/>
    <w:rsid w:val="000F4E96"/>
    <w:rsid w:val="000F4F44"/>
    <w:rsid w:val="000F4FA3"/>
    <w:rsid w:val="000F4FD0"/>
    <w:rsid w:val="000F52C0"/>
    <w:rsid w:val="000F53CB"/>
    <w:rsid w:val="000F6099"/>
    <w:rsid w:val="000F6168"/>
    <w:rsid w:val="000F6799"/>
    <w:rsid w:val="000F6881"/>
    <w:rsid w:val="000F68C2"/>
    <w:rsid w:val="000F6C32"/>
    <w:rsid w:val="000F6C5F"/>
    <w:rsid w:val="000F6D86"/>
    <w:rsid w:val="000F6E0B"/>
    <w:rsid w:val="000F6F01"/>
    <w:rsid w:val="000F6F2C"/>
    <w:rsid w:val="000F7632"/>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E4"/>
    <w:rsid w:val="001026E6"/>
    <w:rsid w:val="00102898"/>
    <w:rsid w:val="00102A33"/>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1CCD"/>
    <w:rsid w:val="001122D5"/>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D9"/>
    <w:rsid w:val="00115AFC"/>
    <w:rsid w:val="00115EA2"/>
    <w:rsid w:val="00116339"/>
    <w:rsid w:val="001163FC"/>
    <w:rsid w:val="00116A2D"/>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E1A"/>
    <w:rsid w:val="00122243"/>
    <w:rsid w:val="00122470"/>
    <w:rsid w:val="00122727"/>
    <w:rsid w:val="00122842"/>
    <w:rsid w:val="00122B4F"/>
    <w:rsid w:val="00122C42"/>
    <w:rsid w:val="00122D3F"/>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612A"/>
    <w:rsid w:val="0013622E"/>
    <w:rsid w:val="001366E7"/>
    <w:rsid w:val="00136998"/>
    <w:rsid w:val="00136A43"/>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4C6"/>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5F35"/>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12A5"/>
    <w:rsid w:val="00162262"/>
    <w:rsid w:val="001623A3"/>
    <w:rsid w:val="00162492"/>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C89"/>
    <w:rsid w:val="00166D9E"/>
    <w:rsid w:val="00166EE2"/>
    <w:rsid w:val="00166FD8"/>
    <w:rsid w:val="0016700E"/>
    <w:rsid w:val="00167099"/>
    <w:rsid w:val="00167125"/>
    <w:rsid w:val="0016733C"/>
    <w:rsid w:val="001675E8"/>
    <w:rsid w:val="0016764C"/>
    <w:rsid w:val="00167A7B"/>
    <w:rsid w:val="00167BBE"/>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8FB"/>
    <w:rsid w:val="0017393F"/>
    <w:rsid w:val="001739C7"/>
    <w:rsid w:val="00173A00"/>
    <w:rsid w:val="00173D38"/>
    <w:rsid w:val="00174555"/>
    <w:rsid w:val="00174D8A"/>
    <w:rsid w:val="00174DDB"/>
    <w:rsid w:val="00175009"/>
    <w:rsid w:val="00175244"/>
    <w:rsid w:val="001752EC"/>
    <w:rsid w:val="001754B2"/>
    <w:rsid w:val="001754E4"/>
    <w:rsid w:val="0017559F"/>
    <w:rsid w:val="00175650"/>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FA"/>
    <w:rsid w:val="0018160F"/>
    <w:rsid w:val="001817BA"/>
    <w:rsid w:val="001818AF"/>
    <w:rsid w:val="00181B3A"/>
    <w:rsid w:val="00181B43"/>
    <w:rsid w:val="00181ECB"/>
    <w:rsid w:val="001820A6"/>
    <w:rsid w:val="001820B2"/>
    <w:rsid w:val="001821E9"/>
    <w:rsid w:val="001823B3"/>
    <w:rsid w:val="001823DC"/>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8E1"/>
    <w:rsid w:val="00191CD3"/>
    <w:rsid w:val="00191DA1"/>
    <w:rsid w:val="00191EBF"/>
    <w:rsid w:val="00192125"/>
    <w:rsid w:val="00192338"/>
    <w:rsid w:val="00192484"/>
    <w:rsid w:val="00192589"/>
    <w:rsid w:val="001925E5"/>
    <w:rsid w:val="001929F7"/>
    <w:rsid w:val="00192A39"/>
    <w:rsid w:val="00192BB2"/>
    <w:rsid w:val="00192CEC"/>
    <w:rsid w:val="00193760"/>
    <w:rsid w:val="00193987"/>
    <w:rsid w:val="00193A4E"/>
    <w:rsid w:val="00193A7C"/>
    <w:rsid w:val="00193DC9"/>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5E26"/>
    <w:rsid w:val="001A6164"/>
    <w:rsid w:val="001A61A0"/>
    <w:rsid w:val="001A64B2"/>
    <w:rsid w:val="001A6729"/>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4FD"/>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9BB"/>
    <w:rsid w:val="001C0A6A"/>
    <w:rsid w:val="001C0B90"/>
    <w:rsid w:val="001C12A0"/>
    <w:rsid w:val="001C16A9"/>
    <w:rsid w:val="001C1729"/>
    <w:rsid w:val="001C17B8"/>
    <w:rsid w:val="001C19EB"/>
    <w:rsid w:val="001C1B69"/>
    <w:rsid w:val="001C1BC7"/>
    <w:rsid w:val="001C1DD5"/>
    <w:rsid w:val="001C1E53"/>
    <w:rsid w:val="001C211D"/>
    <w:rsid w:val="001C2865"/>
    <w:rsid w:val="001C2A8B"/>
    <w:rsid w:val="001C312D"/>
    <w:rsid w:val="001C3434"/>
    <w:rsid w:val="001C3474"/>
    <w:rsid w:val="001C3506"/>
    <w:rsid w:val="001C39E9"/>
    <w:rsid w:val="001C3ACC"/>
    <w:rsid w:val="001C3CA5"/>
    <w:rsid w:val="001C3D59"/>
    <w:rsid w:val="001C3DC6"/>
    <w:rsid w:val="001C3E02"/>
    <w:rsid w:val="001C4640"/>
    <w:rsid w:val="001C4A39"/>
    <w:rsid w:val="001C4D3A"/>
    <w:rsid w:val="001C4F5F"/>
    <w:rsid w:val="001C54B8"/>
    <w:rsid w:val="001C553B"/>
    <w:rsid w:val="001C5710"/>
    <w:rsid w:val="001C589B"/>
    <w:rsid w:val="001C58A6"/>
    <w:rsid w:val="001C5BC8"/>
    <w:rsid w:val="001C5C2A"/>
    <w:rsid w:val="001C5DBB"/>
    <w:rsid w:val="001C5F88"/>
    <w:rsid w:val="001C6182"/>
    <w:rsid w:val="001C619C"/>
    <w:rsid w:val="001C6269"/>
    <w:rsid w:val="001C6488"/>
    <w:rsid w:val="001C66D2"/>
    <w:rsid w:val="001C6708"/>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40C"/>
    <w:rsid w:val="001D55F9"/>
    <w:rsid w:val="001D57BC"/>
    <w:rsid w:val="001D5A98"/>
    <w:rsid w:val="001D5D4A"/>
    <w:rsid w:val="001D5FD3"/>
    <w:rsid w:val="001D63D6"/>
    <w:rsid w:val="001D64D3"/>
    <w:rsid w:val="001D686D"/>
    <w:rsid w:val="001D6E61"/>
    <w:rsid w:val="001D6EE7"/>
    <w:rsid w:val="001D6F30"/>
    <w:rsid w:val="001D6FB4"/>
    <w:rsid w:val="001D7260"/>
    <w:rsid w:val="001D7816"/>
    <w:rsid w:val="001D7898"/>
    <w:rsid w:val="001D7ADE"/>
    <w:rsid w:val="001D7B58"/>
    <w:rsid w:val="001D7B96"/>
    <w:rsid w:val="001D7FE2"/>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025"/>
    <w:rsid w:val="001E420B"/>
    <w:rsid w:val="001E4704"/>
    <w:rsid w:val="001E48CC"/>
    <w:rsid w:val="001E4B33"/>
    <w:rsid w:val="001E5390"/>
    <w:rsid w:val="001E53E2"/>
    <w:rsid w:val="001E5689"/>
    <w:rsid w:val="001E5994"/>
    <w:rsid w:val="001E5BB2"/>
    <w:rsid w:val="001E5BD5"/>
    <w:rsid w:val="001E5D1F"/>
    <w:rsid w:val="001E5F64"/>
    <w:rsid w:val="001E6186"/>
    <w:rsid w:val="001E6199"/>
    <w:rsid w:val="001E6313"/>
    <w:rsid w:val="001E64FE"/>
    <w:rsid w:val="001E6BDA"/>
    <w:rsid w:val="001E6C1B"/>
    <w:rsid w:val="001E7173"/>
    <w:rsid w:val="001E719A"/>
    <w:rsid w:val="001E750C"/>
    <w:rsid w:val="001E7A8F"/>
    <w:rsid w:val="001E7D26"/>
    <w:rsid w:val="001F014C"/>
    <w:rsid w:val="001F020C"/>
    <w:rsid w:val="001F0546"/>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EE0"/>
    <w:rsid w:val="001F5F10"/>
    <w:rsid w:val="001F60B5"/>
    <w:rsid w:val="001F6292"/>
    <w:rsid w:val="001F644E"/>
    <w:rsid w:val="001F662A"/>
    <w:rsid w:val="001F6E45"/>
    <w:rsid w:val="001F7291"/>
    <w:rsid w:val="001F7317"/>
    <w:rsid w:val="001F7408"/>
    <w:rsid w:val="001F7647"/>
    <w:rsid w:val="001F798D"/>
    <w:rsid w:val="001F7BB8"/>
    <w:rsid w:val="001F7DD6"/>
    <w:rsid w:val="00200094"/>
    <w:rsid w:val="002000F2"/>
    <w:rsid w:val="002000FC"/>
    <w:rsid w:val="002001B9"/>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92"/>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3CE"/>
    <w:rsid w:val="002047DE"/>
    <w:rsid w:val="00204981"/>
    <w:rsid w:val="002049AE"/>
    <w:rsid w:val="00204A5A"/>
    <w:rsid w:val="00204B2A"/>
    <w:rsid w:val="00204C12"/>
    <w:rsid w:val="00204F32"/>
    <w:rsid w:val="0020523A"/>
    <w:rsid w:val="002055D5"/>
    <w:rsid w:val="00205635"/>
    <w:rsid w:val="002059A3"/>
    <w:rsid w:val="00205AB2"/>
    <w:rsid w:val="00205CB2"/>
    <w:rsid w:val="00205D98"/>
    <w:rsid w:val="00205E0A"/>
    <w:rsid w:val="00206015"/>
    <w:rsid w:val="0020610B"/>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07F27"/>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851"/>
    <w:rsid w:val="002138A9"/>
    <w:rsid w:val="00213DCB"/>
    <w:rsid w:val="00213FB7"/>
    <w:rsid w:val="00214298"/>
    <w:rsid w:val="00214789"/>
    <w:rsid w:val="002147AE"/>
    <w:rsid w:val="00214E0D"/>
    <w:rsid w:val="00214E26"/>
    <w:rsid w:val="00214F12"/>
    <w:rsid w:val="0021512E"/>
    <w:rsid w:val="002151FA"/>
    <w:rsid w:val="00215550"/>
    <w:rsid w:val="002156E3"/>
    <w:rsid w:val="0021586D"/>
    <w:rsid w:val="00215C24"/>
    <w:rsid w:val="00215CDD"/>
    <w:rsid w:val="00215D76"/>
    <w:rsid w:val="00215E67"/>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3A5F"/>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C6F"/>
    <w:rsid w:val="00237D22"/>
    <w:rsid w:val="0024019A"/>
    <w:rsid w:val="0024029F"/>
    <w:rsid w:val="0024045B"/>
    <w:rsid w:val="00240487"/>
    <w:rsid w:val="00240956"/>
    <w:rsid w:val="00240B7D"/>
    <w:rsid w:val="00240C63"/>
    <w:rsid w:val="00240C75"/>
    <w:rsid w:val="00240CB5"/>
    <w:rsid w:val="00240F65"/>
    <w:rsid w:val="0024103F"/>
    <w:rsid w:val="00241597"/>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25A"/>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762"/>
    <w:rsid w:val="002608BD"/>
    <w:rsid w:val="002608F0"/>
    <w:rsid w:val="00260FAD"/>
    <w:rsid w:val="00261207"/>
    <w:rsid w:val="0026178A"/>
    <w:rsid w:val="002617F6"/>
    <w:rsid w:val="00261D05"/>
    <w:rsid w:val="00261DC1"/>
    <w:rsid w:val="00261DD9"/>
    <w:rsid w:val="00262354"/>
    <w:rsid w:val="002623AC"/>
    <w:rsid w:val="00262979"/>
    <w:rsid w:val="00263038"/>
    <w:rsid w:val="002631DC"/>
    <w:rsid w:val="002633EA"/>
    <w:rsid w:val="00263627"/>
    <w:rsid w:val="0026382D"/>
    <w:rsid w:val="0026385F"/>
    <w:rsid w:val="00263909"/>
    <w:rsid w:val="00263DB2"/>
    <w:rsid w:val="00263DD9"/>
    <w:rsid w:val="00263EFA"/>
    <w:rsid w:val="00264256"/>
    <w:rsid w:val="0026432F"/>
    <w:rsid w:val="0026455A"/>
    <w:rsid w:val="0026460B"/>
    <w:rsid w:val="0026468A"/>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6CDB"/>
    <w:rsid w:val="002670A4"/>
    <w:rsid w:val="0026716C"/>
    <w:rsid w:val="002671F4"/>
    <w:rsid w:val="00267791"/>
    <w:rsid w:val="0027027E"/>
    <w:rsid w:val="0027053E"/>
    <w:rsid w:val="002706CC"/>
    <w:rsid w:val="002708D5"/>
    <w:rsid w:val="002708DA"/>
    <w:rsid w:val="00270BDA"/>
    <w:rsid w:val="00270C63"/>
    <w:rsid w:val="00270C73"/>
    <w:rsid w:val="00270C98"/>
    <w:rsid w:val="00270CF1"/>
    <w:rsid w:val="00270D81"/>
    <w:rsid w:val="00270DA0"/>
    <w:rsid w:val="00270E57"/>
    <w:rsid w:val="00270E89"/>
    <w:rsid w:val="002711C3"/>
    <w:rsid w:val="00271379"/>
    <w:rsid w:val="00271388"/>
    <w:rsid w:val="002713CE"/>
    <w:rsid w:val="0027160B"/>
    <w:rsid w:val="0027162C"/>
    <w:rsid w:val="00271779"/>
    <w:rsid w:val="0027193C"/>
    <w:rsid w:val="0027193F"/>
    <w:rsid w:val="00271960"/>
    <w:rsid w:val="00271EEF"/>
    <w:rsid w:val="00272242"/>
    <w:rsid w:val="0027242C"/>
    <w:rsid w:val="00272474"/>
    <w:rsid w:val="0027257A"/>
    <w:rsid w:val="00272736"/>
    <w:rsid w:val="00272CDA"/>
    <w:rsid w:val="00272D06"/>
    <w:rsid w:val="00272D44"/>
    <w:rsid w:val="00272F80"/>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0FA"/>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660"/>
    <w:rsid w:val="002766C9"/>
    <w:rsid w:val="002768E3"/>
    <w:rsid w:val="00277512"/>
    <w:rsid w:val="00277771"/>
    <w:rsid w:val="002777E4"/>
    <w:rsid w:val="00277E66"/>
    <w:rsid w:val="002801E2"/>
    <w:rsid w:val="00280362"/>
    <w:rsid w:val="00280364"/>
    <w:rsid w:val="0028038B"/>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50D"/>
    <w:rsid w:val="00285520"/>
    <w:rsid w:val="00285894"/>
    <w:rsid w:val="00285D0D"/>
    <w:rsid w:val="00285E28"/>
    <w:rsid w:val="0028639F"/>
    <w:rsid w:val="002863A8"/>
    <w:rsid w:val="00286631"/>
    <w:rsid w:val="00286930"/>
    <w:rsid w:val="00286F06"/>
    <w:rsid w:val="00286F76"/>
    <w:rsid w:val="00287283"/>
    <w:rsid w:val="00287376"/>
    <w:rsid w:val="00287433"/>
    <w:rsid w:val="002877DE"/>
    <w:rsid w:val="00287821"/>
    <w:rsid w:val="00287917"/>
    <w:rsid w:val="00287C28"/>
    <w:rsid w:val="00287C39"/>
    <w:rsid w:val="00290254"/>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668"/>
    <w:rsid w:val="002A36DD"/>
    <w:rsid w:val="002A3771"/>
    <w:rsid w:val="002A37C5"/>
    <w:rsid w:val="002A383D"/>
    <w:rsid w:val="002A3A5F"/>
    <w:rsid w:val="002A3AFD"/>
    <w:rsid w:val="002A3B12"/>
    <w:rsid w:val="002A3FB5"/>
    <w:rsid w:val="002A4102"/>
    <w:rsid w:val="002A43B1"/>
    <w:rsid w:val="002A4918"/>
    <w:rsid w:val="002A4A62"/>
    <w:rsid w:val="002A4ABC"/>
    <w:rsid w:val="002A4B7D"/>
    <w:rsid w:val="002A4D61"/>
    <w:rsid w:val="002A4E20"/>
    <w:rsid w:val="002A4FAF"/>
    <w:rsid w:val="002A51BC"/>
    <w:rsid w:val="002A523D"/>
    <w:rsid w:val="002A52C2"/>
    <w:rsid w:val="002A546D"/>
    <w:rsid w:val="002A557C"/>
    <w:rsid w:val="002A5623"/>
    <w:rsid w:val="002A5FC1"/>
    <w:rsid w:val="002A601D"/>
    <w:rsid w:val="002A647A"/>
    <w:rsid w:val="002A6567"/>
    <w:rsid w:val="002A6EF8"/>
    <w:rsid w:val="002A7180"/>
    <w:rsid w:val="002A732C"/>
    <w:rsid w:val="002A7431"/>
    <w:rsid w:val="002A7446"/>
    <w:rsid w:val="002A7757"/>
    <w:rsid w:val="002A7A6A"/>
    <w:rsid w:val="002A7AB4"/>
    <w:rsid w:val="002A7C20"/>
    <w:rsid w:val="002A7CE9"/>
    <w:rsid w:val="002A7E7D"/>
    <w:rsid w:val="002B050F"/>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2FB"/>
    <w:rsid w:val="002B73BC"/>
    <w:rsid w:val="002B754D"/>
    <w:rsid w:val="002B781D"/>
    <w:rsid w:val="002B7D56"/>
    <w:rsid w:val="002C03A1"/>
    <w:rsid w:val="002C0411"/>
    <w:rsid w:val="002C04C2"/>
    <w:rsid w:val="002C0601"/>
    <w:rsid w:val="002C07B2"/>
    <w:rsid w:val="002C0818"/>
    <w:rsid w:val="002C0D11"/>
    <w:rsid w:val="002C1B17"/>
    <w:rsid w:val="002C1D61"/>
    <w:rsid w:val="002C1EBC"/>
    <w:rsid w:val="002C1EF8"/>
    <w:rsid w:val="002C203A"/>
    <w:rsid w:val="002C24D8"/>
    <w:rsid w:val="002C2AE9"/>
    <w:rsid w:val="002C2B29"/>
    <w:rsid w:val="002C2C05"/>
    <w:rsid w:val="002C2D14"/>
    <w:rsid w:val="002C2E50"/>
    <w:rsid w:val="002C2E8A"/>
    <w:rsid w:val="002C2FCD"/>
    <w:rsid w:val="002C2FE0"/>
    <w:rsid w:val="002C3AE4"/>
    <w:rsid w:val="002C3D7E"/>
    <w:rsid w:val="002C3E89"/>
    <w:rsid w:val="002C42AA"/>
    <w:rsid w:val="002C4A88"/>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2DD4"/>
    <w:rsid w:val="002D3022"/>
    <w:rsid w:val="002D34CE"/>
    <w:rsid w:val="002D378C"/>
    <w:rsid w:val="002D38B7"/>
    <w:rsid w:val="002D3968"/>
    <w:rsid w:val="002D39DB"/>
    <w:rsid w:val="002D3D37"/>
    <w:rsid w:val="002D408F"/>
    <w:rsid w:val="002D425A"/>
    <w:rsid w:val="002D4314"/>
    <w:rsid w:val="002D4591"/>
    <w:rsid w:val="002D48B8"/>
    <w:rsid w:val="002D4902"/>
    <w:rsid w:val="002D4997"/>
    <w:rsid w:val="002D49F2"/>
    <w:rsid w:val="002D4A54"/>
    <w:rsid w:val="002D4C87"/>
    <w:rsid w:val="002D4DA7"/>
    <w:rsid w:val="002D4DC4"/>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608"/>
    <w:rsid w:val="002D76E8"/>
    <w:rsid w:val="002D79F8"/>
    <w:rsid w:val="002D7FE7"/>
    <w:rsid w:val="002E0303"/>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38"/>
    <w:rsid w:val="002E37BF"/>
    <w:rsid w:val="002E38B7"/>
    <w:rsid w:val="002E3E06"/>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406"/>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28F2"/>
    <w:rsid w:val="002F2AE0"/>
    <w:rsid w:val="002F2BCF"/>
    <w:rsid w:val="002F3122"/>
    <w:rsid w:val="002F31C4"/>
    <w:rsid w:val="002F322F"/>
    <w:rsid w:val="002F33D2"/>
    <w:rsid w:val="002F34E0"/>
    <w:rsid w:val="002F3B62"/>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267"/>
    <w:rsid w:val="002F72D1"/>
    <w:rsid w:val="002F72DE"/>
    <w:rsid w:val="002F7435"/>
    <w:rsid w:val="002F7919"/>
    <w:rsid w:val="002F7B6D"/>
    <w:rsid w:val="002F7D48"/>
    <w:rsid w:val="002F7EC5"/>
    <w:rsid w:val="00300085"/>
    <w:rsid w:val="0030027C"/>
    <w:rsid w:val="003003AD"/>
    <w:rsid w:val="00300B29"/>
    <w:rsid w:val="00300E22"/>
    <w:rsid w:val="00300E5F"/>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B48"/>
    <w:rsid w:val="00302BE2"/>
    <w:rsid w:val="00302C77"/>
    <w:rsid w:val="00302EDE"/>
    <w:rsid w:val="00302FEF"/>
    <w:rsid w:val="0030318E"/>
    <w:rsid w:val="0030332C"/>
    <w:rsid w:val="003037DC"/>
    <w:rsid w:val="00304030"/>
    <w:rsid w:val="00304198"/>
    <w:rsid w:val="003043BF"/>
    <w:rsid w:val="00304556"/>
    <w:rsid w:val="0030465E"/>
    <w:rsid w:val="00304AC5"/>
    <w:rsid w:val="00304C6B"/>
    <w:rsid w:val="00304C9E"/>
    <w:rsid w:val="00304CC1"/>
    <w:rsid w:val="00304FBC"/>
    <w:rsid w:val="00305A4E"/>
    <w:rsid w:val="00305B64"/>
    <w:rsid w:val="00305F50"/>
    <w:rsid w:val="0030615E"/>
    <w:rsid w:val="003065FB"/>
    <w:rsid w:val="003066DC"/>
    <w:rsid w:val="003069F9"/>
    <w:rsid w:val="00306AF9"/>
    <w:rsid w:val="00306ED2"/>
    <w:rsid w:val="00306F89"/>
    <w:rsid w:val="00307439"/>
    <w:rsid w:val="0030749E"/>
    <w:rsid w:val="00307636"/>
    <w:rsid w:val="003076CD"/>
    <w:rsid w:val="00307A86"/>
    <w:rsid w:val="00307B27"/>
    <w:rsid w:val="00307CAB"/>
    <w:rsid w:val="00307F28"/>
    <w:rsid w:val="003101DC"/>
    <w:rsid w:val="003103F4"/>
    <w:rsid w:val="00310439"/>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3BA"/>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1AD"/>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AFC"/>
    <w:rsid w:val="00322BC3"/>
    <w:rsid w:val="00322C2B"/>
    <w:rsid w:val="00322E3B"/>
    <w:rsid w:val="003232E3"/>
    <w:rsid w:val="003238BA"/>
    <w:rsid w:val="00323A76"/>
    <w:rsid w:val="00323C8A"/>
    <w:rsid w:val="00323FAD"/>
    <w:rsid w:val="00324089"/>
    <w:rsid w:val="003244B3"/>
    <w:rsid w:val="0032466A"/>
    <w:rsid w:val="00324701"/>
    <w:rsid w:val="0032489D"/>
    <w:rsid w:val="003249F8"/>
    <w:rsid w:val="0032556B"/>
    <w:rsid w:val="0032588C"/>
    <w:rsid w:val="00325A6B"/>
    <w:rsid w:val="00325BAC"/>
    <w:rsid w:val="00325C93"/>
    <w:rsid w:val="00325FC7"/>
    <w:rsid w:val="00326175"/>
    <w:rsid w:val="003263AE"/>
    <w:rsid w:val="003264C7"/>
    <w:rsid w:val="0032651E"/>
    <w:rsid w:val="003267A6"/>
    <w:rsid w:val="003268D6"/>
    <w:rsid w:val="00326A5C"/>
    <w:rsid w:val="00326B29"/>
    <w:rsid w:val="00327009"/>
    <w:rsid w:val="0032718A"/>
    <w:rsid w:val="003271E3"/>
    <w:rsid w:val="003272D0"/>
    <w:rsid w:val="003273DE"/>
    <w:rsid w:val="00327540"/>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9D"/>
    <w:rsid w:val="0033277B"/>
    <w:rsid w:val="00332962"/>
    <w:rsid w:val="00332B5A"/>
    <w:rsid w:val="00332D1D"/>
    <w:rsid w:val="00332D99"/>
    <w:rsid w:val="003332AB"/>
    <w:rsid w:val="00333636"/>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D93"/>
    <w:rsid w:val="00341E06"/>
    <w:rsid w:val="0034246D"/>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188"/>
    <w:rsid w:val="00345ADC"/>
    <w:rsid w:val="00345BAB"/>
    <w:rsid w:val="003460B7"/>
    <w:rsid w:val="003461D4"/>
    <w:rsid w:val="003463E6"/>
    <w:rsid w:val="003464A9"/>
    <w:rsid w:val="0034651C"/>
    <w:rsid w:val="00346831"/>
    <w:rsid w:val="00346F99"/>
    <w:rsid w:val="0034745C"/>
    <w:rsid w:val="003474CD"/>
    <w:rsid w:val="0034799F"/>
    <w:rsid w:val="003479B6"/>
    <w:rsid w:val="00347C98"/>
    <w:rsid w:val="00347D49"/>
    <w:rsid w:val="00347D51"/>
    <w:rsid w:val="0035025F"/>
    <w:rsid w:val="0035041A"/>
    <w:rsid w:val="003505AD"/>
    <w:rsid w:val="00350631"/>
    <w:rsid w:val="00350BB9"/>
    <w:rsid w:val="00350CCE"/>
    <w:rsid w:val="00350CFA"/>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EC"/>
    <w:rsid w:val="003572DE"/>
    <w:rsid w:val="00357659"/>
    <w:rsid w:val="00357712"/>
    <w:rsid w:val="00357CAE"/>
    <w:rsid w:val="00357FEE"/>
    <w:rsid w:val="0036046C"/>
    <w:rsid w:val="003604DB"/>
    <w:rsid w:val="0036084D"/>
    <w:rsid w:val="00360962"/>
    <w:rsid w:val="00360B25"/>
    <w:rsid w:val="00360DF9"/>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C65"/>
    <w:rsid w:val="00363EA3"/>
    <w:rsid w:val="00363FC9"/>
    <w:rsid w:val="003640E0"/>
    <w:rsid w:val="00364131"/>
    <w:rsid w:val="00364261"/>
    <w:rsid w:val="003643AA"/>
    <w:rsid w:val="003645FD"/>
    <w:rsid w:val="003647F7"/>
    <w:rsid w:val="0036484F"/>
    <w:rsid w:val="00365023"/>
    <w:rsid w:val="0036512E"/>
    <w:rsid w:val="00365137"/>
    <w:rsid w:val="003653D9"/>
    <w:rsid w:val="00365644"/>
    <w:rsid w:val="003658CA"/>
    <w:rsid w:val="0036590C"/>
    <w:rsid w:val="00365C23"/>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2D9D"/>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892"/>
    <w:rsid w:val="00380BBD"/>
    <w:rsid w:val="0038155B"/>
    <w:rsid w:val="00381914"/>
    <w:rsid w:val="00381B03"/>
    <w:rsid w:val="00381E5E"/>
    <w:rsid w:val="00382190"/>
    <w:rsid w:val="003821E7"/>
    <w:rsid w:val="00382304"/>
    <w:rsid w:val="00382328"/>
    <w:rsid w:val="003824B5"/>
    <w:rsid w:val="00382903"/>
    <w:rsid w:val="00382F84"/>
    <w:rsid w:val="003830A6"/>
    <w:rsid w:val="00383250"/>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A92"/>
    <w:rsid w:val="00391BA4"/>
    <w:rsid w:val="00391C78"/>
    <w:rsid w:val="00391C99"/>
    <w:rsid w:val="003926BE"/>
    <w:rsid w:val="003929BE"/>
    <w:rsid w:val="003929FA"/>
    <w:rsid w:val="00392A1F"/>
    <w:rsid w:val="00392A63"/>
    <w:rsid w:val="00392B66"/>
    <w:rsid w:val="00392DB8"/>
    <w:rsid w:val="003937AC"/>
    <w:rsid w:val="0039380B"/>
    <w:rsid w:val="00393A2C"/>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13"/>
    <w:rsid w:val="003958F1"/>
    <w:rsid w:val="0039598F"/>
    <w:rsid w:val="00395C41"/>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C9"/>
    <w:rsid w:val="003A45DB"/>
    <w:rsid w:val="003A45FB"/>
    <w:rsid w:val="003A48FC"/>
    <w:rsid w:val="003A4E82"/>
    <w:rsid w:val="003A5048"/>
    <w:rsid w:val="003A523B"/>
    <w:rsid w:val="003A55F3"/>
    <w:rsid w:val="003A5865"/>
    <w:rsid w:val="003A58DA"/>
    <w:rsid w:val="003A590E"/>
    <w:rsid w:val="003A5EC6"/>
    <w:rsid w:val="003A5F48"/>
    <w:rsid w:val="003A5FB3"/>
    <w:rsid w:val="003A6330"/>
    <w:rsid w:val="003A6619"/>
    <w:rsid w:val="003A6BA1"/>
    <w:rsid w:val="003A6CC0"/>
    <w:rsid w:val="003A71E1"/>
    <w:rsid w:val="003A76A9"/>
    <w:rsid w:val="003A7747"/>
    <w:rsid w:val="003A7C3B"/>
    <w:rsid w:val="003B0299"/>
    <w:rsid w:val="003B0B4D"/>
    <w:rsid w:val="003B0F0A"/>
    <w:rsid w:val="003B0FD2"/>
    <w:rsid w:val="003B111E"/>
    <w:rsid w:val="003B248F"/>
    <w:rsid w:val="003B25A3"/>
    <w:rsid w:val="003B26B7"/>
    <w:rsid w:val="003B284A"/>
    <w:rsid w:val="003B29F6"/>
    <w:rsid w:val="003B2ADB"/>
    <w:rsid w:val="003B2B79"/>
    <w:rsid w:val="003B2C70"/>
    <w:rsid w:val="003B2EFF"/>
    <w:rsid w:val="003B2F42"/>
    <w:rsid w:val="003B2F49"/>
    <w:rsid w:val="003B3171"/>
    <w:rsid w:val="003B332F"/>
    <w:rsid w:val="003B379B"/>
    <w:rsid w:val="003B3E56"/>
    <w:rsid w:val="003B3FC2"/>
    <w:rsid w:val="003B4039"/>
    <w:rsid w:val="003B4084"/>
    <w:rsid w:val="003B4482"/>
    <w:rsid w:val="003B450E"/>
    <w:rsid w:val="003B47B4"/>
    <w:rsid w:val="003B495C"/>
    <w:rsid w:val="003B4B02"/>
    <w:rsid w:val="003B4B90"/>
    <w:rsid w:val="003B4BDF"/>
    <w:rsid w:val="003B4C4E"/>
    <w:rsid w:val="003B4D9B"/>
    <w:rsid w:val="003B4E9C"/>
    <w:rsid w:val="003B4F59"/>
    <w:rsid w:val="003B52AA"/>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106B"/>
    <w:rsid w:val="003C10B8"/>
    <w:rsid w:val="003C1C5F"/>
    <w:rsid w:val="003C1DD7"/>
    <w:rsid w:val="003C21F4"/>
    <w:rsid w:val="003C22E1"/>
    <w:rsid w:val="003C257A"/>
    <w:rsid w:val="003C29B7"/>
    <w:rsid w:val="003C2BDB"/>
    <w:rsid w:val="003C2C9D"/>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6DA"/>
    <w:rsid w:val="003C5719"/>
    <w:rsid w:val="003C5722"/>
    <w:rsid w:val="003C5739"/>
    <w:rsid w:val="003C6265"/>
    <w:rsid w:val="003C64CD"/>
    <w:rsid w:val="003C6580"/>
    <w:rsid w:val="003C680F"/>
    <w:rsid w:val="003C6CCB"/>
    <w:rsid w:val="003C6DA9"/>
    <w:rsid w:val="003C7855"/>
    <w:rsid w:val="003D0240"/>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99A"/>
    <w:rsid w:val="003D2E43"/>
    <w:rsid w:val="003D2F6C"/>
    <w:rsid w:val="003D31B9"/>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EB9"/>
    <w:rsid w:val="003E010D"/>
    <w:rsid w:val="003E0504"/>
    <w:rsid w:val="003E089F"/>
    <w:rsid w:val="003E093F"/>
    <w:rsid w:val="003E0974"/>
    <w:rsid w:val="003E0ADB"/>
    <w:rsid w:val="003E0CE4"/>
    <w:rsid w:val="003E0D48"/>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564"/>
    <w:rsid w:val="003F2624"/>
    <w:rsid w:val="003F2711"/>
    <w:rsid w:val="003F27E1"/>
    <w:rsid w:val="003F298C"/>
    <w:rsid w:val="003F2A56"/>
    <w:rsid w:val="003F2DB3"/>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2C2"/>
    <w:rsid w:val="003F536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3D7"/>
    <w:rsid w:val="003F75DD"/>
    <w:rsid w:val="003F78AA"/>
    <w:rsid w:val="003F7908"/>
    <w:rsid w:val="003F7A7C"/>
    <w:rsid w:val="003F7DFF"/>
    <w:rsid w:val="00400093"/>
    <w:rsid w:val="0040015E"/>
    <w:rsid w:val="00400427"/>
    <w:rsid w:val="00400615"/>
    <w:rsid w:val="00400CE9"/>
    <w:rsid w:val="00400D86"/>
    <w:rsid w:val="00400DEA"/>
    <w:rsid w:val="00401041"/>
    <w:rsid w:val="004010EF"/>
    <w:rsid w:val="004011FF"/>
    <w:rsid w:val="00401395"/>
    <w:rsid w:val="004017C6"/>
    <w:rsid w:val="00401A0B"/>
    <w:rsid w:val="004021B5"/>
    <w:rsid w:val="00402286"/>
    <w:rsid w:val="004024AB"/>
    <w:rsid w:val="004024B3"/>
    <w:rsid w:val="004029EA"/>
    <w:rsid w:val="00402DC4"/>
    <w:rsid w:val="00402F2C"/>
    <w:rsid w:val="0040303D"/>
    <w:rsid w:val="0040347F"/>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4F7"/>
    <w:rsid w:val="0041664E"/>
    <w:rsid w:val="0041669D"/>
    <w:rsid w:val="00416A66"/>
    <w:rsid w:val="00416F3B"/>
    <w:rsid w:val="0041716B"/>
    <w:rsid w:val="00417201"/>
    <w:rsid w:val="0041743D"/>
    <w:rsid w:val="004174FC"/>
    <w:rsid w:val="00417678"/>
    <w:rsid w:val="00417800"/>
    <w:rsid w:val="00417A4D"/>
    <w:rsid w:val="00417D10"/>
    <w:rsid w:val="00417D96"/>
    <w:rsid w:val="00420126"/>
    <w:rsid w:val="00420249"/>
    <w:rsid w:val="004203CF"/>
    <w:rsid w:val="00420755"/>
    <w:rsid w:val="0042076B"/>
    <w:rsid w:val="00420CB7"/>
    <w:rsid w:val="00420F8D"/>
    <w:rsid w:val="00421387"/>
    <w:rsid w:val="004213C2"/>
    <w:rsid w:val="004213E8"/>
    <w:rsid w:val="00421402"/>
    <w:rsid w:val="0042156E"/>
    <w:rsid w:val="00421960"/>
    <w:rsid w:val="00421E05"/>
    <w:rsid w:val="004222BF"/>
    <w:rsid w:val="004226E4"/>
    <w:rsid w:val="004229E5"/>
    <w:rsid w:val="00422A01"/>
    <w:rsid w:val="00422AA3"/>
    <w:rsid w:val="00422C8A"/>
    <w:rsid w:val="00422D62"/>
    <w:rsid w:val="00422DB5"/>
    <w:rsid w:val="004230CA"/>
    <w:rsid w:val="004232D4"/>
    <w:rsid w:val="00423326"/>
    <w:rsid w:val="0042384A"/>
    <w:rsid w:val="004238FD"/>
    <w:rsid w:val="00423D0E"/>
    <w:rsid w:val="0042446E"/>
    <w:rsid w:val="00424844"/>
    <w:rsid w:val="00425042"/>
    <w:rsid w:val="004251F8"/>
    <w:rsid w:val="004253B1"/>
    <w:rsid w:val="00425A6C"/>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85A"/>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5FB7"/>
    <w:rsid w:val="004365F4"/>
    <w:rsid w:val="00436696"/>
    <w:rsid w:val="00436A3B"/>
    <w:rsid w:val="00436D7C"/>
    <w:rsid w:val="004371AB"/>
    <w:rsid w:val="00437457"/>
    <w:rsid w:val="004377E6"/>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799"/>
    <w:rsid w:val="00441AD9"/>
    <w:rsid w:val="00441F69"/>
    <w:rsid w:val="004425C2"/>
    <w:rsid w:val="004426FE"/>
    <w:rsid w:val="0044274A"/>
    <w:rsid w:val="00442824"/>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D6E"/>
    <w:rsid w:val="00443FEC"/>
    <w:rsid w:val="004440FF"/>
    <w:rsid w:val="004442A7"/>
    <w:rsid w:val="00444634"/>
    <w:rsid w:val="00444901"/>
    <w:rsid w:val="00444934"/>
    <w:rsid w:val="00444960"/>
    <w:rsid w:val="00444A7E"/>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5FF2"/>
    <w:rsid w:val="00446185"/>
    <w:rsid w:val="004462AF"/>
    <w:rsid w:val="00446424"/>
    <w:rsid w:val="0044662A"/>
    <w:rsid w:val="00446718"/>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298"/>
    <w:rsid w:val="0045247B"/>
    <w:rsid w:val="0045265C"/>
    <w:rsid w:val="004527C0"/>
    <w:rsid w:val="00452B39"/>
    <w:rsid w:val="00452B92"/>
    <w:rsid w:val="00453871"/>
    <w:rsid w:val="00453A43"/>
    <w:rsid w:val="00453DEF"/>
    <w:rsid w:val="004540AC"/>
    <w:rsid w:val="004543E4"/>
    <w:rsid w:val="004548E5"/>
    <w:rsid w:val="00454ACD"/>
    <w:rsid w:val="00454C7A"/>
    <w:rsid w:val="00454C99"/>
    <w:rsid w:val="00454F08"/>
    <w:rsid w:val="00454F85"/>
    <w:rsid w:val="00455105"/>
    <w:rsid w:val="0045553C"/>
    <w:rsid w:val="00455A7C"/>
    <w:rsid w:val="00455E20"/>
    <w:rsid w:val="00455E86"/>
    <w:rsid w:val="00456114"/>
    <w:rsid w:val="0045623E"/>
    <w:rsid w:val="004567CC"/>
    <w:rsid w:val="00456971"/>
    <w:rsid w:val="00456AC7"/>
    <w:rsid w:val="00456B4F"/>
    <w:rsid w:val="004573B3"/>
    <w:rsid w:val="0045742D"/>
    <w:rsid w:val="0045798D"/>
    <w:rsid w:val="00457B27"/>
    <w:rsid w:val="00457BBC"/>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9D7"/>
    <w:rsid w:val="00463B30"/>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BDB"/>
    <w:rsid w:val="00465D59"/>
    <w:rsid w:val="00465EB3"/>
    <w:rsid w:val="004670D7"/>
    <w:rsid w:val="00467742"/>
    <w:rsid w:val="00467857"/>
    <w:rsid w:val="00467898"/>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943"/>
    <w:rsid w:val="00482ADC"/>
    <w:rsid w:val="00482C93"/>
    <w:rsid w:val="00482F79"/>
    <w:rsid w:val="00482FBB"/>
    <w:rsid w:val="00483222"/>
    <w:rsid w:val="0048327F"/>
    <w:rsid w:val="0048332D"/>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AA"/>
    <w:rsid w:val="00493D08"/>
    <w:rsid w:val="00494353"/>
    <w:rsid w:val="0049454A"/>
    <w:rsid w:val="00494671"/>
    <w:rsid w:val="004949D8"/>
    <w:rsid w:val="00494AF6"/>
    <w:rsid w:val="00494E75"/>
    <w:rsid w:val="00495071"/>
    <w:rsid w:val="004951B0"/>
    <w:rsid w:val="0049545F"/>
    <w:rsid w:val="0049551F"/>
    <w:rsid w:val="00495567"/>
    <w:rsid w:val="00495A32"/>
    <w:rsid w:val="004960F6"/>
    <w:rsid w:val="004961DB"/>
    <w:rsid w:val="0049653E"/>
    <w:rsid w:val="0049682E"/>
    <w:rsid w:val="00496BEF"/>
    <w:rsid w:val="00496DC2"/>
    <w:rsid w:val="00496E38"/>
    <w:rsid w:val="004974F3"/>
    <w:rsid w:val="00497600"/>
    <w:rsid w:val="00497A36"/>
    <w:rsid w:val="00497A9A"/>
    <w:rsid w:val="00497C03"/>
    <w:rsid w:val="00497CCB"/>
    <w:rsid w:val="00497CFA"/>
    <w:rsid w:val="004A01E1"/>
    <w:rsid w:val="004A02B2"/>
    <w:rsid w:val="004A08C9"/>
    <w:rsid w:val="004A0974"/>
    <w:rsid w:val="004A0E00"/>
    <w:rsid w:val="004A1452"/>
    <w:rsid w:val="004A15F7"/>
    <w:rsid w:val="004A1600"/>
    <w:rsid w:val="004A1845"/>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2FF2"/>
    <w:rsid w:val="004A31D0"/>
    <w:rsid w:val="004A328E"/>
    <w:rsid w:val="004A32C1"/>
    <w:rsid w:val="004A366E"/>
    <w:rsid w:val="004A36C0"/>
    <w:rsid w:val="004A3AA3"/>
    <w:rsid w:val="004A3CB9"/>
    <w:rsid w:val="004A40F9"/>
    <w:rsid w:val="004A4527"/>
    <w:rsid w:val="004A4625"/>
    <w:rsid w:val="004A46E5"/>
    <w:rsid w:val="004A4900"/>
    <w:rsid w:val="004A4D38"/>
    <w:rsid w:val="004A4E7E"/>
    <w:rsid w:val="004A4E95"/>
    <w:rsid w:val="004A4EB4"/>
    <w:rsid w:val="004A51FA"/>
    <w:rsid w:val="004A5270"/>
    <w:rsid w:val="004A5627"/>
    <w:rsid w:val="004A56A4"/>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EE7"/>
    <w:rsid w:val="004A7FB0"/>
    <w:rsid w:val="004B0090"/>
    <w:rsid w:val="004B0164"/>
    <w:rsid w:val="004B01EA"/>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557"/>
    <w:rsid w:val="004B35E1"/>
    <w:rsid w:val="004B3C3F"/>
    <w:rsid w:val="004B3E0A"/>
    <w:rsid w:val="004B43DA"/>
    <w:rsid w:val="004B45A2"/>
    <w:rsid w:val="004B46C3"/>
    <w:rsid w:val="004B4789"/>
    <w:rsid w:val="004B4A0F"/>
    <w:rsid w:val="004B4F6B"/>
    <w:rsid w:val="004B50E0"/>
    <w:rsid w:val="004B556C"/>
    <w:rsid w:val="004B55EC"/>
    <w:rsid w:val="004B5C33"/>
    <w:rsid w:val="004B624C"/>
    <w:rsid w:val="004B6301"/>
    <w:rsid w:val="004B64EA"/>
    <w:rsid w:val="004B650B"/>
    <w:rsid w:val="004B6FD2"/>
    <w:rsid w:val="004B6FFB"/>
    <w:rsid w:val="004B7311"/>
    <w:rsid w:val="004B743E"/>
    <w:rsid w:val="004B761B"/>
    <w:rsid w:val="004B795F"/>
    <w:rsid w:val="004B7BA5"/>
    <w:rsid w:val="004B7C6F"/>
    <w:rsid w:val="004B7E99"/>
    <w:rsid w:val="004C0023"/>
    <w:rsid w:val="004C0346"/>
    <w:rsid w:val="004C088A"/>
    <w:rsid w:val="004C09FD"/>
    <w:rsid w:val="004C0B5B"/>
    <w:rsid w:val="004C0C5C"/>
    <w:rsid w:val="004C0F99"/>
    <w:rsid w:val="004C10AA"/>
    <w:rsid w:val="004C1125"/>
    <w:rsid w:val="004C12A0"/>
    <w:rsid w:val="004C130D"/>
    <w:rsid w:val="004C133A"/>
    <w:rsid w:val="004C13B9"/>
    <w:rsid w:val="004C1624"/>
    <w:rsid w:val="004C17FF"/>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764"/>
    <w:rsid w:val="004D48E3"/>
    <w:rsid w:val="004D4968"/>
    <w:rsid w:val="004D4A8A"/>
    <w:rsid w:val="004D4ABF"/>
    <w:rsid w:val="004D4CB6"/>
    <w:rsid w:val="004D4F8B"/>
    <w:rsid w:val="004D50CC"/>
    <w:rsid w:val="004D5728"/>
    <w:rsid w:val="004D58D1"/>
    <w:rsid w:val="004D5F02"/>
    <w:rsid w:val="004D602D"/>
    <w:rsid w:val="004D65BA"/>
    <w:rsid w:val="004D6708"/>
    <w:rsid w:val="004D6788"/>
    <w:rsid w:val="004D68C0"/>
    <w:rsid w:val="004D6B64"/>
    <w:rsid w:val="004D6C1A"/>
    <w:rsid w:val="004D70E1"/>
    <w:rsid w:val="004D710C"/>
    <w:rsid w:val="004E0033"/>
    <w:rsid w:val="004E00F1"/>
    <w:rsid w:val="004E0394"/>
    <w:rsid w:val="004E03BE"/>
    <w:rsid w:val="004E071E"/>
    <w:rsid w:val="004E08F9"/>
    <w:rsid w:val="004E0CD0"/>
    <w:rsid w:val="004E1260"/>
    <w:rsid w:val="004E1CBB"/>
    <w:rsid w:val="004E1D07"/>
    <w:rsid w:val="004E1E31"/>
    <w:rsid w:val="004E209D"/>
    <w:rsid w:val="004E2141"/>
    <w:rsid w:val="004E21D3"/>
    <w:rsid w:val="004E2250"/>
    <w:rsid w:val="004E2E33"/>
    <w:rsid w:val="004E2F51"/>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6A5"/>
    <w:rsid w:val="004E7A98"/>
    <w:rsid w:val="004E7B7F"/>
    <w:rsid w:val="004E7BEB"/>
    <w:rsid w:val="004E7C85"/>
    <w:rsid w:val="004F0012"/>
    <w:rsid w:val="004F004D"/>
    <w:rsid w:val="004F01B4"/>
    <w:rsid w:val="004F020A"/>
    <w:rsid w:val="004F024C"/>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9B5"/>
    <w:rsid w:val="004F4E53"/>
    <w:rsid w:val="004F5029"/>
    <w:rsid w:val="004F512B"/>
    <w:rsid w:val="004F56BB"/>
    <w:rsid w:val="004F5748"/>
    <w:rsid w:val="004F58AB"/>
    <w:rsid w:val="004F5D4A"/>
    <w:rsid w:val="004F5D6E"/>
    <w:rsid w:val="004F5EBB"/>
    <w:rsid w:val="004F6142"/>
    <w:rsid w:val="004F6149"/>
    <w:rsid w:val="004F6249"/>
    <w:rsid w:val="004F67BC"/>
    <w:rsid w:val="004F6836"/>
    <w:rsid w:val="004F6AFE"/>
    <w:rsid w:val="004F6EC2"/>
    <w:rsid w:val="004F6F20"/>
    <w:rsid w:val="004F735F"/>
    <w:rsid w:val="004F7373"/>
    <w:rsid w:val="004F73A5"/>
    <w:rsid w:val="004F769B"/>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07F0D"/>
    <w:rsid w:val="00510374"/>
    <w:rsid w:val="00510444"/>
    <w:rsid w:val="0051046B"/>
    <w:rsid w:val="00510E50"/>
    <w:rsid w:val="00510FDF"/>
    <w:rsid w:val="00511081"/>
    <w:rsid w:val="00511599"/>
    <w:rsid w:val="005117EA"/>
    <w:rsid w:val="005119D6"/>
    <w:rsid w:val="00511D50"/>
    <w:rsid w:val="00511E67"/>
    <w:rsid w:val="00512032"/>
    <w:rsid w:val="0051263C"/>
    <w:rsid w:val="00512673"/>
    <w:rsid w:val="00512747"/>
    <w:rsid w:val="00512A7B"/>
    <w:rsid w:val="00512AB7"/>
    <w:rsid w:val="00512C63"/>
    <w:rsid w:val="00512D39"/>
    <w:rsid w:val="005135B1"/>
    <w:rsid w:val="00513B8C"/>
    <w:rsid w:val="00513F8F"/>
    <w:rsid w:val="00514045"/>
    <w:rsid w:val="00514367"/>
    <w:rsid w:val="00514574"/>
    <w:rsid w:val="005147E7"/>
    <w:rsid w:val="005149A2"/>
    <w:rsid w:val="00514CEB"/>
    <w:rsid w:val="00514CEE"/>
    <w:rsid w:val="005150E4"/>
    <w:rsid w:val="00515507"/>
    <w:rsid w:val="0051550E"/>
    <w:rsid w:val="00515556"/>
    <w:rsid w:val="00515708"/>
    <w:rsid w:val="00515746"/>
    <w:rsid w:val="00515907"/>
    <w:rsid w:val="0051594D"/>
    <w:rsid w:val="00515A51"/>
    <w:rsid w:val="00515E2B"/>
    <w:rsid w:val="00516409"/>
    <w:rsid w:val="00516470"/>
    <w:rsid w:val="00516632"/>
    <w:rsid w:val="00516A12"/>
    <w:rsid w:val="00516B96"/>
    <w:rsid w:val="00516E9E"/>
    <w:rsid w:val="005170A2"/>
    <w:rsid w:val="005173A4"/>
    <w:rsid w:val="005179DC"/>
    <w:rsid w:val="00517AD4"/>
    <w:rsid w:val="0052001B"/>
    <w:rsid w:val="00520085"/>
    <w:rsid w:val="005200B2"/>
    <w:rsid w:val="0052082D"/>
    <w:rsid w:val="005209F1"/>
    <w:rsid w:val="00520AE3"/>
    <w:rsid w:val="00520D74"/>
    <w:rsid w:val="00520EFA"/>
    <w:rsid w:val="00520FEC"/>
    <w:rsid w:val="00521209"/>
    <w:rsid w:val="00521294"/>
    <w:rsid w:val="00521ABC"/>
    <w:rsid w:val="00521D5B"/>
    <w:rsid w:val="00521D65"/>
    <w:rsid w:val="005221A4"/>
    <w:rsid w:val="005225C5"/>
    <w:rsid w:val="00522603"/>
    <w:rsid w:val="0052260B"/>
    <w:rsid w:val="0052275E"/>
    <w:rsid w:val="00522CD6"/>
    <w:rsid w:val="005231A1"/>
    <w:rsid w:val="00523366"/>
    <w:rsid w:val="0052381F"/>
    <w:rsid w:val="00523E18"/>
    <w:rsid w:val="00523F32"/>
    <w:rsid w:val="0052422C"/>
    <w:rsid w:val="005244D5"/>
    <w:rsid w:val="00524AD1"/>
    <w:rsid w:val="00524AE9"/>
    <w:rsid w:val="00524CC5"/>
    <w:rsid w:val="00524D9D"/>
    <w:rsid w:val="00524E6A"/>
    <w:rsid w:val="005250A0"/>
    <w:rsid w:val="005251DA"/>
    <w:rsid w:val="0052526C"/>
    <w:rsid w:val="00525407"/>
    <w:rsid w:val="0052577B"/>
    <w:rsid w:val="00525A5C"/>
    <w:rsid w:val="00525B12"/>
    <w:rsid w:val="00525BFB"/>
    <w:rsid w:val="00525F71"/>
    <w:rsid w:val="00526270"/>
    <w:rsid w:val="00526469"/>
    <w:rsid w:val="00526817"/>
    <w:rsid w:val="005269C2"/>
    <w:rsid w:val="00526A5E"/>
    <w:rsid w:val="00526C8A"/>
    <w:rsid w:val="00526F4B"/>
    <w:rsid w:val="0052719A"/>
    <w:rsid w:val="005272A8"/>
    <w:rsid w:val="00527489"/>
    <w:rsid w:val="00527860"/>
    <w:rsid w:val="005278F0"/>
    <w:rsid w:val="00527A58"/>
    <w:rsid w:val="00527CEC"/>
    <w:rsid w:val="0053005D"/>
    <w:rsid w:val="0053012B"/>
    <w:rsid w:val="005301EC"/>
    <w:rsid w:val="00530509"/>
    <w:rsid w:val="0053066C"/>
    <w:rsid w:val="00530AFD"/>
    <w:rsid w:val="005311A5"/>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5B6E"/>
    <w:rsid w:val="00536166"/>
    <w:rsid w:val="00536AEE"/>
    <w:rsid w:val="00536D47"/>
    <w:rsid w:val="00537092"/>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699"/>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1C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6D8"/>
    <w:rsid w:val="005647CB"/>
    <w:rsid w:val="00564A21"/>
    <w:rsid w:val="00564EB9"/>
    <w:rsid w:val="0056518E"/>
    <w:rsid w:val="005657DD"/>
    <w:rsid w:val="00565D94"/>
    <w:rsid w:val="00565DA2"/>
    <w:rsid w:val="00565E25"/>
    <w:rsid w:val="00566548"/>
    <w:rsid w:val="005665C8"/>
    <w:rsid w:val="00566739"/>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094"/>
    <w:rsid w:val="00571358"/>
    <w:rsid w:val="00571382"/>
    <w:rsid w:val="005714FA"/>
    <w:rsid w:val="005719F4"/>
    <w:rsid w:val="00571B71"/>
    <w:rsid w:val="0057247A"/>
    <w:rsid w:val="005724D0"/>
    <w:rsid w:val="00572583"/>
    <w:rsid w:val="00572643"/>
    <w:rsid w:val="005726CF"/>
    <w:rsid w:val="005726EB"/>
    <w:rsid w:val="00572995"/>
    <w:rsid w:val="00572DEC"/>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06"/>
    <w:rsid w:val="005756BD"/>
    <w:rsid w:val="00575DBF"/>
    <w:rsid w:val="005760C5"/>
    <w:rsid w:val="005762E0"/>
    <w:rsid w:val="005766EA"/>
    <w:rsid w:val="00576764"/>
    <w:rsid w:val="00576916"/>
    <w:rsid w:val="0057692A"/>
    <w:rsid w:val="0057692E"/>
    <w:rsid w:val="005769A4"/>
    <w:rsid w:val="00576A37"/>
    <w:rsid w:val="00576C37"/>
    <w:rsid w:val="00576CA4"/>
    <w:rsid w:val="00577368"/>
    <w:rsid w:val="005773FF"/>
    <w:rsid w:val="00577540"/>
    <w:rsid w:val="005777AC"/>
    <w:rsid w:val="00577864"/>
    <w:rsid w:val="005778AE"/>
    <w:rsid w:val="00577B7A"/>
    <w:rsid w:val="00577CC2"/>
    <w:rsid w:val="00577EB4"/>
    <w:rsid w:val="0058026C"/>
    <w:rsid w:val="005803F3"/>
    <w:rsid w:val="005809DE"/>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F1"/>
    <w:rsid w:val="00584496"/>
    <w:rsid w:val="005846B7"/>
    <w:rsid w:val="00584DA8"/>
    <w:rsid w:val="00584E27"/>
    <w:rsid w:val="00584E9D"/>
    <w:rsid w:val="005851E2"/>
    <w:rsid w:val="005852AA"/>
    <w:rsid w:val="00585668"/>
    <w:rsid w:val="00585867"/>
    <w:rsid w:val="00585C3A"/>
    <w:rsid w:val="00586013"/>
    <w:rsid w:val="0058601C"/>
    <w:rsid w:val="0058628A"/>
    <w:rsid w:val="00586786"/>
    <w:rsid w:val="00586A03"/>
    <w:rsid w:val="00586A7C"/>
    <w:rsid w:val="00586B34"/>
    <w:rsid w:val="00586C05"/>
    <w:rsid w:val="00587117"/>
    <w:rsid w:val="005872BE"/>
    <w:rsid w:val="00587307"/>
    <w:rsid w:val="0058759B"/>
    <w:rsid w:val="0058764D"/>
    <w:rsid w:val="00587EA1"/>
    <w:rsid w:val="00590060"/>
    <w:rsid w:val="0059075C"/>
    <w:rsid w:val="005909AD"/>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5A"/>
    <w:rsid w:val="00592A90"/>
    <w:rsid w:val="00592E68"/>
    <w:rsid w:val="00592F2C"/>
    <w:rsid w:val="0059323A"/>
    <w:rsid w:val="005932D4"/>
    <w:rsid w:val="005933EC"/>
    <w:rsid w:val="00593447"/>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640"/>
    <w:rsid w:val="005978AF"/>
    <w:rsid w:val="00597993"/>
    <w:rsid w:val="00597A36"/>
    <w:rsid w:val="00597A9C"/>
    <w:rsid w:val="00597C17"/>
    <w:rsid w:val="00597DF6"/>
    <w:rsid w:val="00597F80"/>
    <w:rsid w:val="005A0274"/>
    <w:rsid w:val="005A049F"/>
    <w:rsid w:val="005A05C6"/>
    <w:rsid w:val="005A0753"/>
    <w:rsid w:val="005A0854"/>
    <w:rsid w:val="005A0CB6"/>
    <w:rsid w:val="005A0E77"/>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D27"/>
    <w:rsid w:val="005A3E8B"/>
    <w:rsid w:val="005A416C"/>
    <w:rsid w:val="005A4432"/>
    <w:rsid w:val="005A45DB"/>
    <w:rsid w:val="005A494C"/>
    <w:rsid w:val="005A4CD5"/>
    <w:rsid w:val="005A55FF"/>
    <w:rsid w:val="005A585B"/>
    <w:rsid w:val="005A588D"/>
    <w:rsid w:val="005A59CF"/>
    <w:rsid w:val="005A5C6E"/>
    <w:rsid w:val="005A5E17"/>
    <w:rsid w:val="005A5FBB"/>
    <w:rsid w:val="005A6223"/>
    <w:rsid w:val="005A6385"/>
    <w:rsid w:val="005A6A3A"/>
    <w:rsid w:val="005A6E87"/>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518"/>
    <w:rsid w:val="005B355C"/>
    <w:rsid w:val="005B3ADB"/>
    <w:rsid w:val="005B3C7C"/>
    <w:rsid w:val="005B3CB8"/>
    <w:rsid w:val="005B411A"/>
    <w:rsid w:val="005B449A"/>
    <w:rsid w:val="005B4618"/>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D8"/>
    <w:rsid w:val="005B6592"/>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CBC"/>
    <w:rsid w:val="005C3EBA"/>
    <w:rsid w:val="005C3F2F"/>
    <w:rsid w:val="005C408F"/>
    <w:rsid w:val="005C46BF"/>
    <w:rsid w:val="005C4B4D"/>
    <w:rsid w:val="005C4DE3"/>
    <w:rsid w:val="005C5024"/>
    <w:rsid w:val="005C5277"/>
    <w:rsid w:val="005C5372"/>
    <w:rsid w:val="005C5379"/>
    <w:rsid w:val="005C5400"/>
    <w:rsid w:val="005C5409"/>
    <w:rsid w:val="005C540A"/>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3FC"/>
    <w:rsid w:val="005D047B"/>
    <w:rsid w:val="005D055E"/>
    <w:rsid w:val="005D0790"/>
    <w:rsid w:val="005D09F5"/>
    <w:rsid w:val="005D0D3E"/>
    <w:rsid w:val="005D17AC"/>
    <w:rsid w:val="005D17BF"/>
    <w:rsid w:val="005D18B1"/>
    <w:rsid w:val="005D1916"/>
    <w:rsid w:val="005D1C8A"/>
    <w:rsid w:val="005D1E09"/>
    <w:rsid w:val="005D2044"/>
    <w:rsid w:val="005D20FC"/>
    <w:rsid w:val="005D22D5"/>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4DFA"/>
    <w:rsid w:val="005D5012"/>
    <w:rsid w:val="005D50E7"/>
    <w:rsid w:val="005D5239"/>
    <w:rsid w:val="005D5272"/>
    <w:rsid w:val="005D5933"/>
    <w:rsid w:val="005D5E46"/>
    <w:rsid w:val="005D609E"/>
    <w:rsid w:val="005D64A5"/>
    <w:rsid w:val="005D6929"/>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A0"/>
    <w:rsid w:val="005E129B"/>
    <w:rsid w:val="005E1393"/>
    <w:rsid w:val="005E1411"/>
    <w:rsid w:val="005E161A"/>
    <w:rsid w:val="005E1972"/>
    <w:rsid w:val="005E2490"/>
    <w:rsid w:val="005E3035"/>
    <w:rsid w:val="005E3096"/>
    <w:rsid w:val="005E35FD"/>
    <w:rsid w:val="005E383F"/>
    <w:rsid w:val="005E3B77"/>
    <w:rsid w:val="005E3BEE"/>
    <w:rsid w:val="005E3C12"/>
    <w:rsid w:val="005E3FFF"/>
    <w:rsid w:val="005E43AD"/>
    <w:rsid w:val="005E44EE"/>
    <w:rsid w:val="005E48F7"/>
    <w:rsid w:val="005E4CCB"/>
    <w:rsid w:val="005E5563"/>
    <w:rsid w:val="005E55E2"/>
    <w:rsid w:val="005E59C5"/>
    <w:rsid w:val="005E5A69"/>
    <w:rsid w:val="005E5E74"/>
    <w:rsid w:val="005E5E87"/>
    <w:rsid w:val="005E60FC"/>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369B"/>
    <w:rsid w:val="005F3730"/>
    <w:rsid w:val="005F3955"/>
    <w:rsid w:val="005F39EC"/>
    <w:rsid w:val="005F3DEA"/>
    <w:rsid w:val="005F3F65"/>
    <w:rsid w:val="005F3F7F"/>
    <w:rsid w:val="005F40E5"/>
    <w:rsid w:val="005F419B"/>
    <w:rsid w:val="005F41E7"/>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B1B"/>
    <w:rsid w:val="00603CF2"/>
    <w:rsid w:val="006041B2"/>
    <w:rsid w:val="0060438C"/>
    <w:rsid w:val="006043D7"/>
    <w:rsid w:val="00604594"/>
    <w:rsid w:val="00604708"/>
    <w:rsid w:val="006049C5"/>
    <w:rsid w:val="00604C87"/>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ADE"/>
    <w:rsid w:val="00607E68"/>
    <w:rsid w:val="0061002F"/>
    <w:rsid w:val="00610224"/>
    <w:rsid w:val="0061023F"/>
    <w:rsid w:val="006102C6"/>
    <w:rsid w:val="006103F0"/>
    <w:rsid w:val="00610B78"/>
    <w:rsid w:val="00610D8D"/>
    <w:rsid w:val="00610F1C"/>
    <w:rsid w:val="00611062"/>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E4A"/>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65F"/>
    <w:rsid w:val="00624C2C"/>
    <w:rsid w:val="00624C6E"/>
    <w:rsid w:val="00624FB3"/>
    <w:rsid w:val="006251C6"/>
    <w:rsid w:val="0062528B"/>
    <w:rsid w:val="006254E5"/>
    <w:rsid w:val="00625B24"/>
    <w:rsid w:val="00625F4F"/>
    <w:rsid w:val="00626387"/>
    <w:rsid w:val="00626506"/>
    <w:rsid w:val="0062656B"/>
    <w:rsid w:val="0062657C"/>
    <w:rsid w:val="006266C4"/>
    <w:rsid w:val="00626C25"/>
    <w:rsid w:val="00626E57"/>
    <w:rsid w:val="00626E64"/>
    <w:rsid w:val="00626EC1"/>
    <w:rsid w:val="006271F4"/>
    <w:rsid w:val="0062725A"/>
    <w:rsid w:val="0062729E"/>
    <w:rsid w:val="00627637"/>
    <w:rsid w:val="006277CB"/>
    <w:rsid w:val="00627A06"/>
    <w:rsid w:val="00627BA3"/>
    <w:rsid w:val="00627C39"/>
    <w:rsid w:val="00627DE3"/>
    <w:rsid w:val="00627DF6"/>
    <w:rsid w:val="00627E44"/>
    <w:rsid w:val="006300D7"/>
    <w:rsid w:val="00630333"/>
    <w:rsid w:val="0063037C"/>
    <w:rsid w:val="0063059B"/>
    <w:rsid w:val="00630818"/>
    <w:rsid w:val="006309AC"/>
    <w:rsid w:val="00630B00"/>
    <w:rsid w:val="00631007"/>
    <w:rsid w:val="006311CF"/>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EF"/>
    <w:rsid w:val="0063305B"/>
    <w:rsid w:val="0063309C"/>
    <w:rsid w:val="006331AF"/>
    <w:rsid w:val="006331CA"/>
    <w:rsid w:val="006333DE"/>
    <w:rsid w:val="00633951"/>
    <w:rsid w:val="00633965"/>
    <w:rsid w:val="00633982"/>
    <w:rsid w:val="00633A3A"/>
    <w:rsid w:val="00633B5E"/>
    <w:rsid w:val="00633C0A"/>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99F"/>
    <w:rsid w:val="00636A76"/>
    <w:rsid w:val="00636B90"/>
    <w:rsid w:val="0063720A"/>
    <w:rsid w:val="00637268"/>
    <w:rsid w:val="0063739E"/>
    <w:rsid w:val="006373C7"/>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4EC4"/>
    <w:rsid w:val="00645190"/>
    <w:rsid w:val="006452CD"/>
    <w:rsid w:val="0064576D"/>
    <w:rsid w:val="0064597C"/>
    <w:rsid w:val="006459F6"/>
    <w:rsid w:val="00645ACC"/>
    <w:rsid w:val="00645B16"/>
    <w:rsid w:val="00646506"/>
    <w:rsid w:val="006466B5"/>
    <w:rsid w:val="00646C19"/>
    <w:rsid w:val="00646F54"/>
    <w:rsid w:val="0064748F"/>
    <w:rsid w:val="006476FE"/>
    <w:rsid w:val="006477A7"/>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7F8"/>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4EE"/>
    <w:rsid w:val="00656527"/>
    <w:rsid w:val="00656594"/>
    <w:rsid w:val="00656630"/>
    <w:rsid w:val="006566E2"/>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6140"/>
    <w:rsid w:val="00666152"/>
    <w:rsid w:val="006662C4"/>
    <w:rsid w:val="0066692E"/>
    <w:rsid w:val="00666DDB"/>
    <w:rsid w:val="00666E14"/>
    <w:rsid w:val="00666E49"/>
    <w:rsid w:val="00666F2A"/>
    <w:rsid w:val="006670CC"/>
    <w:rsid w:val="0066725F"/>
    <w:rsid w:val="006672FC"/>
    <w:rsid w:val="00667378"/>
    <w:rsid w:val="0066745C"/>
    <w:rsid w:val="0066782E"/>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371"/>
    <w:rsid w:val="006725CC"/>
    <w:rsid w:val="006726B1"/>
    <w:rsid w:val="0067273D"/>
    <w:rsid w:val="00672966"/>
    <w:rsid w:val="00672E29"/>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49C"/>
    <w:rsid w:val="006767B8"/>
    <w:rsid w:val="00677725"/>
    <w:rsid w:val="00677BFF"/>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D3B"/>
    <w:rsid w:val="00685DB7"/>
    <w:rsid w:val="006861B3"/>
    <w:rsid w:val="0068623E"/>
    <w:rsid w:val="00686366"/>
    <w:rsid w:val="00686527"/>
    <w:rsid w:val="0068653A"/>
    <w:rsid w:val="00686A14"/>
    <w:rsid w:val="00686AD4"/>
    <w:rsid w:val="00686B5D"/>
    <w:rsid w:val="00686FAD"/>
    <w:rsid w:val="006870D9"/>
    <w:rsid w:val="00687215"/>
    <w:rsid w:val="0068721F"/>
    <w:rsid w:val="0068767A"/>
    <w:rsid w:val="006878B2"/>
    <w:rsid w:val="00687A10"/>
    <w:rsid w:val="00687CD7"/>
    <w:rsid w:val="0069092D"/>
    <w:rsid w:val="00690D12"/>
    <w:rsid w:val="00690EFD"/>
    <w:rsid w:val="00690F0E"/>
    <w:rsid w:val="006914FB"/>
    <w:rsid w:val="006919C5"/>
    <w:rsid w:val="006920C3"/>
    <w:rsid w:val="00692799"/>
    <w:rsid w:val="006927F0"/>
    <w:rsid w:val="00692868"/>
    <w:rsid w:val="00692A0D"/>
    <w:rsid w:val="00692B2A"/>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8A7"/>
    <w:rsid w:val="00695900"/>
    <w:rsid w:val="00695D23"/>
    <w:rsid w:val="00696244"/>
    <w:rsid w:val="0069677F"/>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B00DF"/>
    <w:rsid w:val="006B0489"/>
    <w:rsid w:val="006B05F5"/>
    <w:rsid w:val="006B090A"/>
    <w:rsid w:val="006B0A30"/>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2922"/>
    <w:rsid w:val="006B3018"/>
    <w:rsid w:val="006B3493"/>
    <w:rsid w:val="006B3662"/>
    <w:rsid w:val="006B393F"/>
    <w:rsid w:val="006B3A88"/>
    <w:rsid w:val="006B3B64"/>
    <w:rsid w:val="006B3E55"/>
    <w:rsid w:val="006B401E"/>
    <w:rsid w:val="006B47D1"/>
    <w:rsid w:val="006B48C9"/>
    <w:rsid w:val="006B4D21"/>
    <w:rsid w:val="006B4E5B"/>
    <w:rsid w:val="006B4FED"/>
    <w:rsid w:val="006B503D"/>
    <w:rsid w:val="006B5111"/>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9DD"/>
    <w:rsid w:val="006C0B07"/>
    <w:rsid w:val="006C0B08"/>
    <w:rsid w:val="006C0B9B"/>
    <w:rsid w:val="006C0CC3"/>
    <w:rsid w:val="006C1120"/>
    <w:rsid w:val="006C1142"/>
    <w:rsid w:val="006C1226"/>
    <w:rsid w:val="006C144F"/>
    <w:rsid w:val="006C1A29"/>
    <w:rsid w:val="006C1AE9"/>
    <w:rsid w:val="006C1B3F"/>
    <w:rsid w:val="006C1F77"/>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7305"/>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D42"/>
    <w:rsid w:val="006D2FE0"/>
    <w:rsid w:val="006D31AF"/>
    <w:rsid w:val="006D31DD"/>
    <w:rsid w:val="006D34D8"/>
    <w:rsid w:val="006D3565"/>
    <w:rsid w:val="006D35CD"/>
    <w:rsid w:val="006D37F1"/>
    <w:rsid w:val="006D3A0E"/>
    <w:rsid w:val="006D3D01"/>
    <w:rsid w:val="006D4133"/>
    <w:rsid w:val="006D4373"/>
    <w:rsid w:val="006D4499"/>
    <w:rsid w:val="006D47FD"/>
    <w:rsid w:val="006D4814"/>
    <w:rsid w:val="006D4894"/>
    <w:rsid w:val="006D492A"/>
    <w:rsid w:val="006D493C"/>
    <w:rsid w:val="006D4E69"/>
    <w:rsid w:val="006D53CF"/>
    <w:rsid w:val="006D5457"/>
    <w:rsid w:val="006D55E0"/>
    <w:rsid w:val="006D576E"/>
    <w:rsid w:val="006D59BF"/>
    <w:rsid w:val="006D5A62"/>
    <w:rsid w:val="006D5AE7"/>
    <w:rsid w:val="006D5EC2"/>
    <w:rsid w:val="006D5F70"/>
    <w:rsid w:val="006D5FEF"/>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B1B"/>
    <w:rsid w:val="006E0E00"/>
    <w:rsid w:val="006E1135"/>
    <w:rsid w:val="006E1469"/>
    <w:rsid w:val="006E176F"/>
    <w:rsid w:val="006E1778"/>
    <w:rsid w:val="006E1C34"/>
    <w:rsid w:val="006E1E45"/>
    <w:rsid w:val="006E22CC"/>
    <w:rsid w:val="006E293E"/>
    <w:rsid w:val="006E2F48"/>
    <w:rsid w:val="006E3864"/>
    <w:rsid w:val="006E3A6E"/>
    <w:rsid w:val="006E3D3A"/>
    <w:rsid w:val="006E43DC"/>
    <w:rsid w:val="006E4646"/>
    <w:rsid w:val="006E4AC1"/>
    <w:rsid w:val="006E4DFC"/>
    <w:rsid w:val="006E5006"/>
    <w:rsid w:val="006E512D"/>
    <w:rsid w:val="006E5477"/>
    <w:rsid w:val="006E554E"/>
    <w:rsid w:val="006E5949"/>
    <w:rsid w:val="006E5964"/>
    <w:rsid w:val="006E5AFE"/>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37F"/>
    <w:rsid w:val="006F14DA"/>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BB4"/>
    <w:rsid w:val="006F3C66"/>
    <w:rsid w:val="006F3E99"/>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6E5"/>
    <w:rsid w:val="00703D8A"/>
    <w:rsid w:val="00703FA9"/>
    <w:rsid w:val="00704123"/>
    <w:rsid w:val="00704641"/>
    <w:rsid w:val="007047A7"/>
    <w:rsid w:val="00704B21"/>
    <w:rsid w:val="00704D48"/>
    <w:rsid w:val="007050A6"/>
    <w:rsid w:val="0070525B"/>
    <w:rsid w:val="0070529C"/>
    <w:rsid w:val="0070547C"/>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748"/>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4B7"/>
    <w:rsid w:val="0071371F"/>
    <w:rsid w:val="0071374D"/>
    <w:rsid w:val="00713972"/>
    <w:rsid w:val="00714065"/>
    <w:rsid w:val="00714186"/>
    <w:rsid w:val="00714312"/>
    <w:rsid w:val="00714796"/>
    <w:rsid w:val="00714D6A"/>
    <w:rsid w:val="0071576D"/>
    <w:rsid w:val="00715DD6"/>
    <w:rsid w:val="00715F49"/>
    <w:rsid w:val="0071619B"/>
    <w:rsid w:val="007162C8"/>
    <w:rsid w:val="00716324"/>
    <w:rsid w:val="00716377"/>
    <w:rsid w:val="007163BF"/>
    <w:rsid w:val="0071649C"/>
    <w:rsid w:val="00716990"/>
    <w:rsid w:val="007169BA"/>
    <w:rsid w:val="00716B63"/>
    <w:rsid w:val="00716FC0"/>
    <w:rsid w:val="0071713E"/>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5A7"/>
    <w:rsid w:val="00722626"/>
    <w:rsid w:val="00722B72"/>
    <w:rsid w:val="00722BC0"/>
    <w:rsid w:val="00722BC8"/>
    <w:rsid w:val="00722BD3"/>
    <w:rsid w:val="00722CE7"/>
    <w:rsid w:val="00722DBC"/>
    <w:rsid w:val="00723099"/>
    <w:rsid w:val="007233B6"/>
    <w:rsid w:val="007234F8"/>
    <w:rsid w:val="0072350B"/>
    <w:rsid w:val="00723534"/>
    <w:rsid w:val="007237DB"/>
    <w:rsid w:val="007238F1"/>
    <w:rsid w:val="00724426"/>
    <w:rsid w:val="00724437"/>
    <w:rsid w:val="007244BA"/>
    <w:rsid w:val="007245F9"/>
    <w:rsid w:val="0072461A"/>
    <w:rsid w:val="00724728"/>
    <w:rsid w:val="007248F9"/>
    <w:rsid w:val="00724DC4"/>
    <w:rsid w:val="00725068"/>
    <w:rsid w:val="0072560E"/>
    <w:rsid w:val="00725686"/>
    <w:rsid w:val="00725849"/>
    <w:rsid w:val="00725BC5"/>
    <w:rsid w:val="00725BE9"/>
    <w:rsid w:val="00725CB6"/>
    <w:rsid w:val="00725CD7"/>
    <w:rsid w:val="00725CDC"/>
    <w:rsid w:val="00726281"/>
    <w:rsid w:val="007262C6"/>
    <w:rsid w:val="0072650B"/>
    <w:rsid w:val="00726537"/>
    <w:rsid w:val="0072665F"/>
    <w:rsid w:val="00726E44"/>
    <w:rsid w:val="00727111"/>
    <w:rsid w:val="007273A4"/>
    <w:rsid w:val="007273EC"/>
    <w:rsid w:val="007279F1"/>
    <w:rsid w:val="00727DD1"/>
    <w:rsid w:val="00727E9F"/>
    <w:rsid w:val="00730281"/>
    <w:rsid w:val="00730C7A"/>
    <w:rsid w:val="00730CB1"/>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4D1"/>
    <w:rsid w:val="007406A2"/>
    <w:rsid w:val="007406C0"/>
    <w:rsid w:val="007406D4"/>
    <w:rsid w:val="007409E8"/>
    <w:rsid w:val="00740AC1"/>
    <w:rsid w:val="00740B5C"/>
    <w:rsid w:val="00740BF9"/>
    <w:rsid w:val="0074108B"/>
    <w:rsid w:val="00741294"/>
    <w:rsid w:val="00741434"/>
    <w:rsid w:val="007415B6"/>
    <w:rsid w:val="00741613"/>
    <w:rsid w:val="007418FC"/>
    <w:rsid w:val="00741A56"/>
    <w:rsid w:val="00741B31"/>
    <w:rsid w:val="007420C9"/>
    <w:rsid w:val="00742117"/>
    <w:rsid w:val="0074226C"/>
    <w:rsid w:val="00742593"/>
    <w:rsid w:val="00742695"/>
    <w:rsid w:val="00742A51"/>
    <w:rsid w:val="00742E0B"/>
    <w:rsid w:val="00743468"/>
    <w:rsid w:val="0074351A"/>
    <w:rsid w:val="007436B1"/>
    <w:rsid w:val="007436D5"/>
    <w:rsid w:val="00743867"/>
    <w:rsid w:val="00743909"/>
    <w:rsid w:val="00744055"/>
    <w:rsid w:val="0074443A"/>
    <w:rsid w:val="00744674"/>
    <w:rsid w:val="0074475B"/>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2D1"/>
    <w:rsid w:val="0074631C"/>
    <w:rsid w:val="007464FA"/>
    <w:rsid w:val="007467BC"/>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11A5"/>
    <w:rsid w:val="0075130E"/>
    <w:rsid w:val="007514B4"/>
    <w:rsid w:val="0075174D"/>
    <w:rsid w:val="00751ED5"/>
    <w:rsid w:val="00751F76"/>
    <w:rsid w:val="00752214"/>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935"/>
    <w:rsid w:val="00756AFA"/>
    <w:rsid w:val="00756BB9"/>
    <w:rsid w:val="00756CF3"/>
    <w:rsid w:val="00756F15"/>
    <w:rsid w:val="00756F1E"/>
    <w:rsid w:val="0075701C"/>
    <w:rsid w:val="007570D5"/>
    <w:rsid w:val="0075712E"/>
    <w:rsid w:val="007572E9"/>
    <w:rsid w:val="00757447"/>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AF"/>
    <w:rsid w:val="00762924"/>
    <w:rsid w:val="0076295C"/>
    <w:rsid w:val="00762AD4"/>
    <w:rsid w:val="00762FA7"/>
    <w:rsid w:val="00763055"/>
    <w:rsid w:val="00763432"/>
    <w:rsid w:val="00763448"/>
    <w:rsid w:val="00763558"/>
    <w:rsid w:val="007637D1"/>
    <w:rsid w:val="00763B4D"/>
    <w:rsid w:val="00763EB7"/>
    <w:rsid w:val="00763F32"/>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9F1"/>
    <w:rsid w:val="00770A2E"/>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3C4"/>
    <w:rsid w:val="0077385B"/>
    <w:rsid w:val="00773CCA"/>
    <w:rsid w:val="00773D63"/>
    <w:rsid w:val="00773EB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056"/>
    <w:rsid w:val="00777140"/>
    <w:rsid w:val="007771BF"/>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AB8"/>
    <w:rsid w:val="00783D0A"/>
    <w:rsid w:val="00784112"/>
    <w:rsid w:val="007842FE"/>
    <w:rsid w:val="007843A4"/>
    <w:rsid w:val="0078440C"/>
    <w:rsid w:val="00784630"/>
    <w:rsid w:val="00784702"/>
    <w:rsid w:val="0078495C"/>
    <w:rsid w:val="00784C31"/>
    <w:rsid w:val="00784EA1"/>
    <w:rsid w:val="00784ECF"/>
    <w:rsid w:val="00784FC7"/>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FA1"/>
    <w:rsid w:val="00786FF2"/>
    <w:rsid w:val="007875E7"/>
    <w:rsid w:val="00787736"/>
    <w:rsid w:val="007878DA"/>
    <w:rsid w:val="00787A55"/>
    <w:rsid w:val="00787F1C"/>
    <w:rsid w:val="00787F28"/>
    <w:rsid w:val="00787FF1"/>
    <w:rsid w:val="007904E7"/>
    <w:rsid w:val="0079050E"/>
    <w:rsid w:val="00790D2F"/>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C1E"/>
    <w:rsid w:val="00793CA4"/>
    <w:rsid w:val="00793F70"/>
    <w:rsid w:val="0079448A"/>
    <w:rsid w:val="007945A2"/>
    <w:rsid w:val="007947FB"/>
    <w:rsid w:val="00794D22"/>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37B"/>
    <w:rsid w:val="007A038F"/>
    <w:rsid w:val="007A05E8"/>
    <w:rsid w:val="007A0616"/>
    <w:rsid w:val="007A081D"/>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85"/>
    <w:rsid w:val="007A37F2"/>
    <w:rsid w:val="007A3815"/>
    <w:rsid w:val="007A3BF2"/>
    <w:rsid w:val="007A3D27"/>
    <w:rsid w:val="007A406F"/>
    <w:rsid w:val="007A4338"/>
    <w:rsid w:val="007A45A5"/>
    <w:rsid w:val="007A468B"/>
    <w:rsid w:val="007A4AF1"/>
    <w:rsid w:val="007A4DD7"/>
    <w:rsid w:val="007A4FF8"/>
    <w:rsid w:val="007A5288"/>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73B"/>
    <w:rsid w:val="007B0A51"/>
    <w:rsid w:val="007B0C5C"/>
    <w:rsid w:val="007B1061"/>
    <w:rsid w:val="007B1908"/>
    <w:rsid w:val="007B1F9A"/>
    <w:rsid w:val="007B2074"/>
    <w:rsid w:val="007B2638"/>
    <w:rsid w:val="007B2BB1"/>
    <w:rsid w:val="007B2BD4"/>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630D"/>
    <w:rsid w:val="007B6347"/>
    <w:rsid w:val="007B6B55"/>
    <w:rsid w:val="007B77FB"/>
    <w:rsid w:val="007B79EC"/>
    <w:rsid w:val="007B7CEF"/>
    <w:rsid w:val="007B7D58"/>
    <w:rsid w:val="007B7E59"/>
    <w:rsid w:val="007C03E7"/>
    <w:rsid w:val="007C0880"/>
    <w:rsid w:val="007C09FB"/>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58"/>
    <w:rsid w:val="007C52ED"/>
    <w:rsid w:val="007C52F0"/>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B7C"/>
    <w:rsid w:val="007D1B95"/>
    <w:rsid w:val="007D214A"/>
    <w:rsid w:val="007D2170"/>
    <w:rsid w:val="007D2620"/>
    <w:rsid w:val="007D2815"/>
    <w:rsid w:val="007D28FE"/>
    <w:rsid w:val="007D2B0D"/>
    <w:rsid w:val="007D2CBD"/>
    <w:rsid w:val="007D2E67"/>
    <w:rsid w:val="007D2F4C"/>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051"/>
    <w:rsid w:val="007D512C"/>
    <w:rsid w:val="007D526F"/>
    <w:rsid w:val="007D5273"/>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9F1"/>
    <w:rsid w:val="007E2B64"/>
    <w:rsid w:val="007E2B9D"/>
    <w:rsid w:val="007E2D4C"/>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7A7"/>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1D4A"/>
    <w:rsid w:val="007F2477"/>
    <w:rsid w:val="007F288F"/>
    <w:rsid w:val="007F290B"/>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100D3"/>
    <w:rsid w:val="0081012C"/>
    <w:rsid w:val="0081036B"/>
    <w:rsid w:val="00810453"/>
    <w:rsid w:val="00810DD8"/>
    <w:rsid w:val="00810DE9"/>
    <w:rsid w:val="00810E3C"/>
    <w:rsid w:val="00810EAE"/>
    <w:rsid w:val="00811036"/>
    <w:rsid w:val="00811236"/>
    <w:rsid w:val="00811D49"/>
    <w:rsid w:val="00811E7A"/>
    <w:rsid w:val="00812027"/>
    <w:rsid w:val="008123D5"/>
    <w:rsid w:val="008124FE"/>
    <w:rsid w:val="0081260A"/>
    <w:rsid w:val="008127B0"/>
    <w:rsid w:val="00812906"/>
    <w:rsid w:val="00812944"/>
    <w:rsid w:val="00812BD0"/>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36"/>
    <w:rsid w:val="00820BA5"/>
    <w:rsid w:val="00821307"/>
    <w:rsid w:val="00821610"/>
    <w:rsid w:val="008216E2"/>
    <w:rsid w:val="0082172C"/>
    <w:rsid w:val="0082180C"/>
    <w:rsid w:val="00821A22"/>
    <w:rsid w:val="00821DC0"/>
    <w:rsid w:val="00821E00"/>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51EC"/>
    <w:rsid w:val="00825469"/>
    <w:rsid w:val="00825511"/>
    <w:rsid w:val="00825639"/>
    <w:rsid w:val="00825693"/>
    <w:rsid w:val="00825723"/>
    <w:rsid w:val="008257FB"/>
    <w:rsid w:val="00825A86"/>
    <w:rsid w:val="00825A9C"/>
    <w:rsid w:val="00825EEF"/>
    <w:rsid w:val="00826204"/>
    <w:rsid w:val="008263E0"/>
    <w:rsid w:val="008267D3"/>
    <w:rsid w:val="00826D90"/>
    <w:rsid w:val="00826F54"/>
    <w:rsid w:val="00827015"/>
    <w:rsid w:val="00827109"/>
    <w:rsid w:val="00827166"/>
    <w:rsid w:val="008272E9"/>
    <w:rsid w:val="008273B3"/>
    <w:rsid w:val="0082752F"/>
    <w:rsid w:val="008278EA"/>
    <w:rsid w:val="00827A41"/>
    <w:rsid w:val="00827AF3"/>
    <w:rsid w:val="008304AE"/>
    <w:rsid w:val="008306FA"/>
    <w:rsid w:val="00831151"/>
    <w:rsid w:val="0083179C"/>
    <w:rsid w:val="008318A0"/>
    <w:rsid w:val="00831A03"/>
    <w:rsid w:val="00832092"/>
    <w:rsid w:val="00832142"/>
    <w:rsid w:val="008321AA"/>
    <w:rsid w:val="00832685"/>
    <w:rsid w:val="00832C18"/>
    <w:rsid w:val="00832CAF"/>
    <w:rsid w:val="0083311A"/>
    <w:rsid w:val="00833448"/>
    <w:rsid w:val="008337F7"/>
    <w:rsid w:val="00833ECB"/>
    <w:rsid w:val="00833FF6"/>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72"/>
    <w:rsid w:val="008419A1"/>
    <w:rsid w:val="00841D12"/>
    <w:rsid w:val="00841E79"/>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C"/>
    <w:rsid w:val="00844453"/>
    <w:rsid w:val="008444F8"/>
    <w:rsid w:val="008445D2"/>
    <w:rsid w:val="00844750"/>
    <w:rsid w:val="00844864"/>
    <w:rsid w:val="00844BE3"/>
    <w:rsid w:val="00844ECA"/>
    <w:rsid w:val="00845448"/>
    <w:rsid w:val="0084577A"/>
    <w:rsid w:val="00845A7B"/>
    <w:rsid w:val="00845A92"/>
    <w:rsid w:val="00845E1D"/>
    <w:rsid w:val="00845F51"/>
    <w:rsid w:val="00846049"/>
    <w:rsid w:val="00846106"/>
    <w:rsid w:val="00846197"/>
    <w:rsid w:val="00846273"/>
    <w:rsid w:val="00846363"/>
    <w:rsid w:val="00846467"/>
    <w:rsid w:val="00846487"/>
    <w:rsid w:val="00846661"/>
    <w:rsid w:val="00846AC4"/>
    <w:rsid w:val="00846C77"/>
    <w:rsid w:val="00846D95"/>
    <w:rsid w:val="00846E99"/>
    <w:rsid w:val="00847458"/>
    <w:rsid w:val="00847964"/>
    <w:rsid w:val="00847991"/>
    <w:rsid w:val="00847C4E"/>
    <w:rsid w:val="00847E24"/>
    <w:rsid w:val="00847F69"/>
    <w:rsid w:val="008503E7"/>
    <w:rsid w:val="008504D6"/>
    <w:rsid w:val="0085065C"/>
    <w:rsid w:val="00850A04"/>
    <w:rsid w:val="00850AE8"/>
    <w:rsid w:val="00850B13"/>
    <w:rsid w:val="00850ECC"/>
    <w:rsid w:val="00851695"/>
    <w:rsid w:val="00851B22"/>
    <w:rsid w:val="00851BA5"/>
    <w:rsid w:val="00852338"/>
    <w:rsid w:val="00852AA6"/>
    <w:rsid w:val="00852EE2"/>
    <w:rsid w:val="00852FAF"/>
    <w:rsid w:val="008532A7"/>
    <w:rsid w:val="00853B5B"/>
    <w:rsid w:val="00853C45"/>
    <w:rsid w:val="00854090"/>
    <w:rsid w:val="008540C8"/>
    <w:rsid w:val="00854983"/>
    <w:rsid w:val="00854A91"/>
    <w:rsid w:val="00854E0E"/>
    <w:rsid w:val="008556F2"/>
    <w:rsid w:val="008561D0"/>
    <w:rsid w:val="008561D7"/>
    <w:rsid w:val="00856221"/>
    <w:rsid w:val="00856301"/>
    <w:rsid w:val="00856377"/>
    <w:rsid w:val="00856499"/>
    <w:rsid w:val="008569DF"/>
    <w:rsid w:val="00856A3D"/>
    <w:rsid w:val="00856D2B"/>
    <w:rsid w:val="00856DEB"/>
    <w:rsid w:val="00856E4A"/>
    <w:rsid w:val="0085722A"/>
    <w:rsid w:val="00857686"/>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E7F"/>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75E"/>
    <w:rsid w:val="008678F0"/>
    <w:rsid w:val="00867CE6"/>
    <w:rsid w:val="00867DBF"/>
    <w:rsid w:val="00870018"/>
    <w:rsid w:val="0087006E"/>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882"/>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D12"/>
    <w:rsid w:val="00875F79"/>
    <w:rsid w:val="00875FBD"/>
    <w:rsid w:val="00875FE6"/>
    <w:rsid w:val="00876AC2"/>
    <w:rsid w:val="00876AC7"/>
    <w:rsid w:val="0087700C"/>
    <w:rsid w:val="0087763F"/>
    <w:rsid w:val="0087792F"/>
    <w:rsid w:val="00877974"/>
    <w:rsid w:val="00877C06"/>
    <w:rsid w:val="00877C45"/>
    <w:rsid w:val="00877C57"/>
    <w:rsid w:val="00877FA3"/>
    <w:rsid w:val="008804C9"/>
    <w:rsid w:val="00880BDC"/>
    <w:rsid w:val="00880D44"/>
    <w:rsid w:val="00880D84"/>
    <w:rsid w:val="00880E1E"/>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080"/>
    <w:rsid w:val="00886223"/>
    <w:rsid w:val="008862CF"/>
    <w:rsid w:val="0088651F"/>
    <w:rsid w:val="0088682A"/>
    <w:rsid w:val="00886B5B"/>
    <w:rsid w:val="008872FE"/>
    <w:rsid w:val="0088762F"/>
    <w:rsid w:val="008876DF"/>
    <w:rsid w:val="00887771"/>
    <w:rsid w:val="00887B71"/>
    <w:rsid w:val="00887C01"/>
    <w:rsid w:val="00887C4D"/>
    <w:rsid w:val="00887FEF"/>
    <w:rsid w:val="0089000E"/>
    <w:rsid w:val="00890394"/>
    <w:rsid w:val="00890757"/>
    <w:rsid w:val="008907B2"/>
    <w:rsid w:val="008909D6"/>
    <w:rsid w:val="00890A0B"/>
    <w:rsid w:val="00890BCD"/>
    <w:rsid w:val="00890DFA"/>
    <w:rsid w:val="00890E0D"/>
    <w:rsid w:val="00890F04"/>
    <w:rsid w:val="00890FBE"/>
    <w:rsid w:val="00891195"/>
    <w:rsid w:val="008913F1"/>
    <w:rsid w:val="00891548"/>
    <w:rsid w:val="008917D6"/>
    <w:rsid w:val="00891A48"/>
    <w:rsid w:val="00891F63"/>
    <w:rsid w:val="00892253"/>
    <w:rsid w:val="008922DF"/>
    <w:rsid w:val="0089232A"/>
    <w:rsid w:val="00892522"/>
    <w:rsid w:val="0089295B"/>
    <w:rsid w:val="00892EDF"/>
    <w:rsid w:val="00893024"/>
    <w:rsid w:val="00893235"/>
    <w:rsid w:val="0089363D"/>
    <w:rsid w:val="00893B24"/>
    <w:rsid w:val="00893B3B"/>
    <w:rsid w:val="00893BA4"/>
    <w:rsid w:val="00893DB3"/>
    <w:rsid w:val="00893EA0"/>
    <w:rsid w:val="00893FCD"/>
    <w:rsid w:val="0089400C"/>
    <w:rsid w:val="008943B9"/>
    <w:rsid w:val="008947CA"/>
    <w:rsid w:val="0089482C"/>
    <w:rsid w:val="008948A0"/>
    <w:rsid w:val="00894A2E"/>
    <w:rsid w:val="00894ADC"/>
    <w:rsid w:val="008951C7"/>
    <w:rsid w:val="00895243"/>
    <w:rsid w:val="00895514"/>
    <w:rsid w:val="0089552F"/>
    <w:rsid w:val="008955D7"/>
    <w:rsid w:val="008958AF"/>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7AE"/>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84B"/>
    <w:rsid w:val="008A4911"/>
    <w:rsid w:val="008A49EF"/>
    <w:rsid w:val="008A4DAC"/>
    <w:rsid w:val="008A4E04"/>
    <w:rsid w:val="008A52DC"/>
    <w:rsid w:val="008A53C3"/>
    <w:rsid w:val="008A5609"/>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A7D57"/>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577"/>
    <w:rsid w:val="008B5DF8"/>
    <w:rsid w:val="008B60ED"/>
    <w:rsid w:val="008B6116"/>
    <w:rsid w:val="008B66CB"/>
    <w:rsid w:val="008B6762"/>
    <w:rsid w:val="008B6A84"/>
    <w:rsid w:val="008B6C1A"/>
    <w:rsid w:val="008B6E5C"/>
    <w:rsid w:val="008B6EEA"/>
    <w:rsid w:val="008B7387"/>
    <w:rsid w:val="008C00C3"/>
    <w:rsid w:val="008C018D"/>
    <w:rsid w:val="008C03EB"/>
    <w:rsid w:val="008C0827"/>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06C"/>
    <w:rsid w:val="008C35FC"/>
    <w:rsid w:val="008C370C"/>
    <w:rsid w:val="008C421A"/>
    <w:rsid w:val="008C4361"/>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FD"/>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3D3"/>
    <w:rsid w:val="008D2461"/>
    <w:rsid w:val="008D24F3"/>
    <w:rsid w:val="008D2781"/>
    <w:rsid w:val="008D2801"/>
    <w:rsid w:val="008D2DD8"/>
    <w:rsid w:val="008D2E67"/>
    <w:rsid w:val="008D30F5"/>
    <w:rsid w:val="008D3208"/>
    <w:rsid w:val="008D3321"/>
    <w:rsid w:val="008D399A"/>
    <w:rsid w:val="008D3A3E"/>
    <w:rsid w:val="008D41D9"/>
    <w:rsid w:val="008D4259"/>
    <w:rsid w:val="008D4318"/>
    <w:rsid w:val="008D453F"/>
    <w:rsid w:val="008D4B02"/>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873"/>
    <w:rsid w:val="008E391A"/>
    <w:rsid w:val="008E3A03"/>
    <w:rsid w:val="008E3B66"/>
    <w:rsid w:val="008E3BE5"/>
    <w:rsid w:val="008E3C18"/>
    <w:rsid w:val="008E3F52"/>
    <w:rsid w:val="008E412D"/>
    <w:rsid w:val="008E431C"/>
    <w:rsid w:val="008E451A"/>
    <w:rsid w:val="008E4890"/>
    <w:rsid w:val="008E48FD"/>
    <w:rsid w:val="008E4B21"/>
    <w:rsid w:val="008E4CA5"/>
    <w:rsid w:val="008E4E39"/>
    <w:rsid w:val="008E50BD"/>
    <w:rsid w:val="008E52DD"/>
    <w:rsid w:val="008E5412"/>
    <w:rsid w:val="008E5625"/>
    <w:rsid w:val="008E5A00"/>
    <w:rsid w:val="008E5B5F"/>
    <w:rsid w:val="008E5BD5"/>
    <w:rsid w:val="008E5D01"/>
    <w:rsid w:val="008E5D5A"/>
    <w:rsid w:val="008E61FC"/>
    <w:rsid w:val="008E624A"/>
    <w:rsid w:val="008E6788"/>
    <w:rsid w:val="008E68E4"/>
    <w:rsid w:val="008E692C"/>
    <w:rsid w:val="008E69A0"/>
    <w:rsid w:val="008E6AEE"/>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CC6"/>
    <w:rsid w:val="008F4DFE"/>
    <w:rsid w:val="008F4E3F"/>
    <w:rsid w:val="008F4E7C"/>
    <w:rsid w:val="008F5406"/>
    <w:rsid w:val="008F559D"/>
    <w:rsid w:val="008F5665"/>
    <w:rsid w:val="008F5866"/>
    <w:rsid w:val="008F58E7"/>
    <w:rsid w:val="008F5915"/>
    <w:rsid w:val="008F5934"/>
    <w:rsid w:val="008F595E"/>
    <w:rsid w:val="008F5AEE"/>
    <w:rsid w:val="008F5B34"/>
    <w:rsid w:val="008F6188"/>
    <w:rsid w:val="008F6410"/>
    <w:rsid w:val="008F6442"/>
    <w:rsid w:val="008F6649"/>
    <w:rsid w:val="008F692B"/>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13A"/>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159"/>
    <w:rsid w:val="00913353"/>
    <w:rsid w:val="00913832"/>
    <w:rsid w:val="00913AF7"/>
    <w:rsid w:val="00913B67"/>
    <w:rsid w:val="00913EC1"/>
    <w:rsid w:val="00913F4C"/>
    <w:rsid w:val="0091404B"/>
    <w:rsid w:val="009140EC"/>
    <w:rsid w:val="00914215"/>
    <w:rsid w:val="0091423A"/>
    <w:rsid w:val="00914445"/>
    <w:rsid w:val="00914A58"/>
    <w:rsid w:val="00914A5D"/>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BB3"/>
    <w:rsid w:val="00917E26"/>
    <w:rsid w:val="009204CD"/>
    <w:rsid w:val="00920536"/>
    <w:rsid w:val="0092078E"/>
    <w:rsid w:val="00920848"/>
    <w:rsid w:val="00920D95"/>
    <w:rsid w:val="0092121B"/>
    <w:rsid w:val="00921452"/>
    <w:rsid w:val="009216BF"/>
    <w:rsid w:val="009218D2"/>
    <w:rsid w:val="00921A44"/>
    <w:rsid w:val="00921A74"/>
    <w:rsid w:val="00921ACC"/>
    <w:rsid w:val="00921C9F"/>
    <w:rsid w:val="00921ED5"/>
    <w:rsid w:val="00921FA1"/>
    <w:rsid w:val="009225B6"/>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7F"/>
    <w:rsid w:val="00926A9F"/>
    <w:rsid w:val="009274C6"/>
    <w:rsid w:val="00927522"/>
    <w:rsid w:val="00927648"/>
    <w:rsid w:val="00927699"/>
    <w:rsid w:val="00927731"/>
    <w:rsid w:val="0092784B"/>
    <w:rsid w:val="009279AF"/>
    <w:rsid w:val="00927A45"/>
    <w:rsid w:val="00927A50"/>
    <w:rsid w:val="0093011E"/>
    <w:rsid w:val="009301E4"/>
    <w:rsid w:val="00930305"/>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A20"/>
    <w:rsid w:val="00932DDF"/>
    <w:rsid w:val="00933121"/>
    <w:rsid w:val="009331A7"/>
    <w:rsid w:val="00933220"/>
    <w:rsid w:val="00933481"/>
    <w:rsid w:val="009334A4"/>
    <w:rsid w:val="009336F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498"/>
    <w:rsid w:val="00942BB8"/>
    <w:rsid w:val="00942D14"/>
    <w:rsid w:val="00942E21"/>
    <w:rsid w:val="00942EF9"/>
    <w:rsid w:val="0094302A"/>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AF4"/>
    <w:rsid w:val="009451EF"/>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B3D"/>
    <w:rsid w:val="00951C7E"/>
    <w:rsid w:val="00951CF6"/>
    <w:rsid w:val="00951D78"/>
    <w:rsid w:val="00951EDF"/>
    <w:rsid w:val="0095238E"/>
    <w:rsid w:val="009525C9"/>
    <w:rsid w:val="00952ACA"/>
    <w:rsid w:val="00952C70"/>
    <w:rsid w:val="00952C7A"/>
    <w:rsid w:val="00953424"/>
    <w:rsid w:val="009535AD"/>
    <w:rsid w:val="009537A7"/>
    <w:rsid w:val="009537B7"/>
    <w:rsid w:val="00953B1F"/>
    <w:rsid w:val="00953C21"/>
    <w:rsid w:val="0095419A"/>
    <w:rsid w:val="009546F3"/>
    <w:rsid w:val="009548C3"/>
    <w:rsid w:val="00954E67"/>
    <w:rsid w:val="0095506D"/>
    <w:rsid w:val="009551B9"/>
    <w:rsid w:val="009552B5"/>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35BA"/>
    <w:rsid w:val="0096392B"/>
    <w:rsid w:val="00963945"/>
    <w:rsid w:val="0096397B"/>
    <w:rsid w:val="00964003"/>
    <w:rsid w:val="0096438D"/>
    <w:rsid w:val="00964782"/>
    <w:rsid w:val="00964AE6"/>
    <w:rsid w:val="00964E3C"/>
    <w:rsid w:val="00964E69"/>
    <w:rsid w:val="0096504D"/>
    <w:rsid w:val="009650C5"/>
    <w:rsid w:val="00965317"/>
    <w:rsid w:val="009654F0"/>
    <w:rsid w:val="0096558F"/>
    <w:rsid w:val="009656AC"/>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E3"/>
    <w:rsid w:val="0097166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A1A"/>
    <w:rsid w:val="00972BB7"/>
    <w:rsid w:val="00972C06"/>
    <w:rsid w:val="00972F20"/>
    <w:rsid w:val="00972F4C"/>
    <w:rsid w:val="00972FEB"/>
    <w:rsid w:val="00973257"/>
    <w:rsid w:val="00973279"/>
    <w:rsid w:val="00973388"/>
    <w:rsid w:val="00973637"/>
    <w:rsid w:val="00973792"/>
    <w:rsid w:val="0097383E"/>
    <w:rsid w:val="009738E5"/>
    <w:rsid w:val="00973A69"/>
    <w:rsid w:val="00973F29"/>
    <w:rsid w:val="00974182"/>
    <w:rsid w:val="00974246"/>
    <w:rsid w:val="009744FF"/>
    <w:rsid w:val="00974520"/>
    <w:rsid w:val="009745F0"/>
    <w:rsid w:val="009746CC"/>
    <w:rsid w:val="00974B9F"/>
    <w:rsid w:val="00974EBD"/>
    <w:rsid w:val="00974FB0"/>
    <w:rsid w:val="00974FEE"/>
    <w:rsid w:val="009751BA"/>
    <w:rsid w:val="0097536C"/>
    <w:rsid w:val="0097539E"/>
    <w:rsid w:val="0097577E"/>
    <w:rsid w:val="00975910"/>
    <w:rsid w:val="00976148"/>
    <w:rsid w:val="009765CF"/>
    <w:rsid w:val="00976989"/>
    <w:rsid w:val="00976C05"/>
    <w:rsid w:val="00976D1B"/>
    <w:rsid w:val="00976FFB"/>
    <w:rsid w:val="009770BB"/>
    <w:rsid w:val="0097752E"/>
    <w:rsid w:val="00977852"/>
    <w:rsid w:val="009778AB"/>
    <w:rsid w:val="00977AF0"/>
    <w:rsid w:val="00977B0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97A"/>
    <w:rsid w:val="00985A0F"/>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5A57"/>
    <w:rsid w:val="00995ECA"/>
    <w:rsid w:val="00996518"/>
    <w:rsid w:val="009966F8"/>
    <w:rsid w:val="00996A14"/>
    <w:rsid w:val="00996A8B"/>
    <w:rsid w:val="00996CD4"/>
    <w:rsid w:val="00996E42"/>
    <w:rsid w:val="00996FB0"/>
    <w:rsid w:val="0099731A"/>
    <w:rsid w:val="00997386"/>
    <w:rsid w:val="009973E5"/>
    <w:rsid w:val="009975D0"/>
    <w:rsid w:val="0099779B"/>
    <w:rsid w:val="009979D6"/>
    <w:rsid w:val="00997CA3"/>
    <w:rsid w:val="00997D91"/>
    <w:rsid w:val="00997EE2"/>
    <w:rsid w:val="009A0212"/>
    <w:rsid w:val="009A031F"/>
    <w:rsid w:val="009A09D9"/>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8D1"/>
    <w:rsid w:val="009A7D67"/>
    <w:rsid w:val="009A7DFB"/>
    <w:rsid w:val="009A7E08"/>
    <w:rsid w:val="009A7E11"/>
    <w:rsid w:val="009B003C"/>
    <w:rsid w:val="009B16AA"/>
    <w:rsid w:val="009B16E6"/>
    <w:rsid w:val="009B1823"/>
    <w:rsid w:val="009B187F"/>
    <w:rsid w:val="009B1E4F"/>
    <w:rsid w:val="009B1F2A"/>
    <w:rsid w:val="009B2203"/>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821"/>
    <w:rsid w:val="009B4863"/>
    <w:rsid w:val="009B488F"/>
    <w:rsid w:val="009B48C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BC1"/>
    <w:rsid w:val="009C0D72"/>
    <w:rsid w:val="009C0DBE"/>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CE1"/>
    <w:rsid w:val="009C6D63"/>
    <w:rsid w:val="009C6E93"/>
    <w:rsid w:val="009C6EDE"/>
    <w:rsid w:val="009C73C4"/>
    <w:rsid w:val="009C778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390"/>
    <w:rsid w:val="009D75A4"/>
    <w:rsid w:val="009D774D"/>
    <w:rsid w:val="009D785E"/>
    <w:rsid w:val="009D798C"/>
    <w:rsid w:val="009D7A2A"/>
    <w:rsid w:val="009D7D94"/>
    <w:rsid w:val="009E0056"/>
    <w:rsid w:val="009E04A9"/>
    <w:rsid w:val="009E04FB"/>
    <w:rsid w:val="009E0849"/>
    <w:rsid w:val="009E0871"/>
    <w:rsid w:val="009E0981"/>
    <w:rsid w:val="009E0EC8"/>
    <w:rsid w:val="009E1137"/>
    <w:rsid w:val="009E1216"/>
    <w:rsid w:val="009E1303"/>
    <w:rsid w:val="009E176B"/>
    <w:rsid w:val="009E195A"/>
    <w:rsid w:val="009E1A3B"/>
    <w:rsid w:val="009E1CF0"/>
    <w:rsid w:val="009E1E2C"/>
    <w:rsid w:val="009E1F70"/>
    <w:rsid w:val="009E1FC6"/>
    <w:rsid w:val="009E21A4"/>
    <w:rsid w:val="009E223B"/>
    <w:rsid w:val="009E248F"/>
    <w:rsid w:val="009E2578"/>
    <w:rsid w:val="009E25CB"/>
    <w:rsid w:val="009E2BE6"/>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38"/>
    <w:rsid w:val="009E59AC"/>
    <w:rsid w:val="009E5AB4"/>
    <w:rsid w:val="009E5C6C"/>
    <w:rsid w:val="009E5FA7"/>
    <w:rsid w:val="009E62CB"/>
    <w:rsid w:val="009E641D"/>
    <w:rsid w:val="009E6910"/>
    <w:rsid w:val="009E6A64"/>
    <w:rsid w:val="009E6BFC"/>
    <w:rsid w:val="009E6FBA"/>
    <w:rsid w:val="009E6FC8"/>
    <w:rsid w:val="009E704E"/>
    <w:rsid w:val="009E72D6"/>
    <w:rsid w:val="009E747D"/>
    <w:rsid w:val="009E762B"/>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6AC"/>
    <w:rsid w:val="009F3857"/>
    <w:rsid w:val="009F385B"/>
    <w:rsid w:val="009F3A4B"/>
    <w:rsid w:val="009F4196"/>
    <w:rsid w:val="009F41E1"/>
    <w:rsid w:val="009F4375"/>
    <w:rsid w:val="009F4405"/>
    <w:rsid w:val="009F483A"/>
    <w:rsid w:val="009F4F05"/>
    <w:rsid w:val="009F5012"/>
    <w:rsid w:val="009F5017"/>
    <w:rsid w:val="009F5330"/>
    <w:rsid w:val="009F5375"/>
    <w:rsid w:val="009F55BE"/>
    <w:rsid w:val="009F5606"/>
    <w:rsid w:val="009F5807"/>
    <w:rsid w:val="009F5A90"/>
    <w:rsid w:val="009F5C09"/>
    <w:rsid w:val="009F5CA4"/>
    <w:rsid w:val="009F6410"/>
    <w:rsid w:val="009F6457"/>
    <w:rsid w:val="009F65CB"/>
    <w:rsid w:val="009F6D99"/>
    <w:rsid w:val="009F7169"/>
    <w:rsid w:val="009F71CE"/>
    <w:rsid w:val="009F72DF"/>
    <w:rsid w:val="009F74AE"/>
    <w:rsid w:val="009F7637"/>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870"/>
    <w:rsid w:val="00A02B26"/>
    <w:rsid w:val="00A02BEC"/>
    <w:rsid w:val="00A02C96"/>
    <w:rsid w:val="00A02D52"/>
    <w:rsid w:val="00A02FBC"/>
    <w:rsid w:val="00A03246"/>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0BD6"/>
    <w:rsid w:val="00A1108B"/>
    <w:rsid w:val="00A114B5"/>
    <w:rsid w:val="00A1159A"/>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7EC"/>
    <w:rsid w:val="00A158D3"/>
    <w:rsid w:val="00A15E49"/>
    <w:rsid w:val="00A15F2F"/>
    <w:rsid w:val="00A16150"/>
    <w:rsid w:val="00A1630B"/>
    <w:rsid w:val="00A163A7"/>
    <w:rsid w:val="00A16510"/>
    <w:rsid w:val="00A166C5"/>
    <w:rsid w:val="00A16788"/>
    <w:rsid w:val="00A1686F"/>
    <w:rsid w:val="00A16A9C"/>
    <w:rsid w:val="00A16CE7"/>
    <w:rsid w:val="00A17180"/>
    <w:rsid w:val="00A172F4"/>
    <w:rsid w:val="00A17345"/>
    <w:rsid w:val="00A17648"/>
    <w:rsid w:val="00A1789B"/>
    <w:rsid w:val="00A1797A"/>
    <w:rsid w:val="00A179CC"/>
    <w:rsid w:val="00A17CC1"/>
    <w:rsid w:val="00A17FA0"/>
    <w:rsid w:val="00A20232"/>
    <w:rsid w:val="00A205BF"/>
    <w:rsid w:val="00A205D4"/>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B26"/>
    <w:rsid w:val="00A23C57"/>
    <w:rsid w:val="00A23E0D"/>
    <w:rsid w:val="00A24002"/>
    <w:rsid w:val="00A24171"/>
    <w:rsid w:val="00A242AB"/>
    <w:rsid w:val="00A243FB"/>
    <w:rsid w:val="00A245E1"/>
    <w:rsid w:val="00A2470A"/>
    <w:rsid w:val="00A2481C"/>
    <w:rsid w:val="00A24CCF"/>
    <w:rsid w:val="00A24D21"/>
    <w:rsid w:val="00A24F1F"/>
    <w:rsid w:val="00A25193"/>
    <w:rsid w:val="00A25293"/>
    <w:rsid w:val="00A25296"/>
    <w:rsid w:val="00A253A6"/>
    <w:rsid w:val="00A253C6"/>
    <w:rsid w:val="00A253FB"/>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93D"/>
    <w:rsid w:val="00A33D5C"/>
    <w:rsid w:val="00A3400E"/>
    <w:rsid w:val="00A34678"/>
    <w:rsid w:val="00A34685"/>
    <w:rsid w:val="00A34B18"/>
    <w:rsid w:val="00A34DA0"/>
    <w:rsid w:val="00A34E1A"/>
    <w:rsid w:val="00A35A0B"/>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771"/>
    <w:rsid w:val="00A37A59"/>
    <w:rsid w:val="00A37B91"/>
    <w:rsid w:val="00A37CFA"/>
    <w:rsid w:val="00A37D9D"/>
    <w:rsid w:val="00A37E05"/>
    <w:rsid w:val="00A4008E"/>
    <w:rsid w:val="00A401A5"/>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0E"/>
    <w:rsid w:val="00A514EB"/>
    <w:rsid w:val="00A51761"/>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130"/>
    <w:rsid w:val="00A6065A"/>
    <w:rsid w:val="00A606AC"/>
    <w:rsid w:val="00A607D7"/>
    <w:rsid w:val="00A609BC"/>
    <w:rsid w:val="00A60B4F"/>
    <w:rsid w:val="00A60E20"/>
    <w:rsid w:val="00A60E30"/>
    <w:rsid w:val="00A60EBB"/>
    <w:rsid w:val="00A61401"/>
    <w:rsid w:val="00A615A0"/>
    <w:rsid w:val="00A615AF"/>
    <w:rsid w:val="00A61828"/>
    <w:rsid w:val="00A6189D"/>
    <w:rsid w:val="00A61B27"/>
    <w:rsid w:val="00A61B8D"/>
    <w:rsid w:val="00A61BD0"/>
    <w:rsid w:val="00A61D7C"/>
    <w:rsid w:val="00A61F65"/>
    <w:rsid w:val="00A62024"/>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E2E"/>
    <w:rsid w:val="00A6721E"/>
    <w:rsid w:val="00A6743F"/>
    <w:rsid w:val="00A6755D"/>
    <w:rsid w:val="00A67721"/>
    <w:rsid w:val="00A677C1"/>
    <w:rsid w:val="00A67884"/>
    <w:rsid w:val="00A678EA"/>
    <w:rsid w:val="00A67A35"/>
    <w:rsid w:val="00A67A8E"/>
    <w:rsid w:val="00A67AC6"/>
    <w:rsid w:val="00A67E3E"/>
    <w:rsid w:val="00A7014A"/>
    <w:rsid w:val="00A70946"/>
    <w:rsid w:val="00A70A35"/>
    <w:rsid w:val="00A70C9C"/>
    <w:rsid w:val="00A70D28"/>
    <w:rsid w:val="00A70FAB"/>
    <w:rsid w:val="00A71209"/>
    <w:rsid w:val="00A7141F"/>
    <w:rsid w:val="00A71668"/>
    <w:rsid w:val="00A71A25"/>
    <w:rsid w:val="00A71D6B"/>
    <w:rsid w:val="00A71E51"/>
    <w:rsid w:val="00A71F00"/>
    <w:rsid w:val="00A71F75"/>
    <w:rsid w:val="00A72376"/>
    <w:rsid w:val="00A7245E"/>
    <w:rsid w:val="00A726A3"/>
    <w:rsid w:val="00A726DE"/>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D9B"/>
    <w:rsid w:val="00A8221B"/>
    <w:rsid w:val="00A82437"/>
    <w:rsid w:val="00A82508"/>
    <w:rsid w:val="00A82C1E"/>
    <w:rsid w:val="00A82D55"/>
    <w:rsid w:val="00A831F0"/>
    <w:rsid w:val="00A8323D"/>
    <w:rsid w:val="00A8330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699"/>
    <w:rsid w:val="00A927EE"/>
    <w:rsid w:val="00A92890"/>
    <w:rsid w:val="00A92991"/>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D18"/>
    <w:rsid w:val="00A95024"/>
    <w:rsid w:val="00A9505F"/>
    <w:rsid w:val="00A9508C"/>
    <w:rsid w:val="00A95203"/>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2FA7"/>
    <w:rsid w:val="00AA301B"/>
    <w:rsid w:val="00AA30A2"/>
    <w:rsid w:val="00AA3667"/>
    <w:rsid w:val="00AA3745"/>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6FED"/>
    <w:rsid w:val="00AA7087"/>
    <w:rsid w:val="00AA70AB"/>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41C"/>
    <w:rsid w:val="00AB1705"/>
    <w:rsid w:val="00AB1A33"/>
    <w:rsid w:val="00AB1A92"/>
    <w:rsid w:val="00AB2857"/>
    <w:rsid w:val="00AB29C5"/>
    <w:rsid w:val="00AB2B1A"/>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68"/>
    <w:rsid w:val="00AC3C90"/>
    <w:rsid w:val="00AC3D85"/>
    <w:rsid w:val="00AC402C"/>
    <w:rsid w:val="00AC40C7"/>
    <w:rsid w:val="00AC4150"/>
    <w:rsid w:val="00AC45D6"/>
    <w:rsid w:val="00AC472E"/>
    <w:rsid w:val="00AC4866"/>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DE9"/>
    <w:rsid w:val="00AD00AF"/>
    <w:rsid w:val="00AD0766"/>
    <w:rsid w:val="00AD12BD"/>
    <w:rsid w:val="00AD12C9"/>
    <w:rsid w:val="00AD163D"/>
    <w:rsid w:val="00AD1860"/>
    <w:rsid w:val="00AD192D"/>
    <w:rsid w:val="00AD1A97"/>
    <w:rsid w:val="00AD1B21"/>
    <w:rsid w:val="00AD1DA7"/>
    <w:rsid w:val="00AD1DFE"/>
    <w:rsid w:val="00AD1E17"/>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1"/>
    <w:rsid w:val="00AD3BEC"/>
    <w:rsid w:val="00AD3DEF"/>
    <w:rsid w:val="00AD3E26"/>
    <w:rsid w:val="00AD4597"/>
    <w:rsid w:val="00AD48F9"/>
    <w:rsid w:val="00AD4C34"/>
    <w:rsid w:val="00AD57E1"/>
    <w:rsid w:val="00AD5949"/>
    <w:rsid w:val="00AD653F"/>
    <w:rsid w:val="00AD66B7"/>
    <w:rsid w:val="00AD6980"/>
    <w:rsid w:val="00AD6C09"/>
    <w:rsid w:val="00AD6C7F"/>
    <w:rsid w:val="00AD6ED7"/>
    <w:rsid w:val="00AD6F42"/>
    <w:rsid w:val="00AD70C9"/>
    <w:rsid w:val="00AD732A"/>
    <w:rsid w:val="00AD732B"/>
    <w:rsid w:val="00AD75A6"/>
    <w:rsid w:val="00AD7927"/>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F01"/>
    <w:rsid w:val="00AE5434"/>
    <w:rsid w:val="00AE567E"/>
    <w:rsid w:val="00AE5C22"/>
    <w:rsid w:val="00AE5E95"/>
    <w:rsid w:val="00AE6433"/>
    <w:rsid w:val="00AE64AE"/>
    <w:rsid w:val="00AE6561"/>
    <w:rsid w:val="00AE6584"/>
    <w:rsid w:val="00AE69BD"/>
    <w:rsid w:val="00AE6D12"/>
    <w:rsid w:val="00AE6D40"/>
    <w:rsid w:val="00AE71E8"/>
    <w:rsid w:val="00AE723D"/>
    <w:rsid w:val="00AE773B"/>
    <w:rsid w:val="00AE7751"/>
    <w:rsid w:val="00AE7758"/>
    <w:rsid w:val="00AE780C"/>
    <w:rsid w:val="00AE7907"/>
    <w:rsid w:val="00AE7992"/>
    <w:rsid w:val="00AE7BF1"/>
    <w:rsid w:val="00AE7DA5"/>
    <w:rsid w:val="00AF045F"/>
    <w:rsid w:val="00AF0DC7"/>
    <w:rsid w:val="00AF0FFE"/>
    <w:rsid w:val="00AF1079"/>
    <w:rsid w:val="00AF1414"/>
    <w:rsid w:val="00AF15C3"/>
    <w:rsid w:val="00AF19CD"/>
    <w:rsid w:val="00AF1A4A"/>
    <w:rsid w:val="00AF1D41"/>
    <w:rsid w:val="00AF24F9"/>
    <w:rsid w:val="00AF25F3"/>
    <w:rsid w:val="00AF2799"/>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B002BA"/>
    <w:rsid w:val="00B002CE"/>
    <w:rsid w:val="00B0030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9F9"/>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100C7"/>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B18"/>
    <w:rsid w:val="00B13F1F"/>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5"/>
    <w:rsid w:val="00B243FF"/>
    <w:rsid w:val="00B24800"/>
    <w:rsid w:val="00B24945"/>
    <w:rsid w:val="00B24C48"/>
    <w:rsid w:val="00B24F49"/>
    <w:rsid w:val="00B253F0"/>
    <w:rsid w:val="00B25585"/>
    <w:rsid w:val="00B2564D"/>
    <w:rsid w:val="00B2571D"/>
    <w:rsid w:val="00B25A0E"/>
    <w:rsid w:val="00B25A70"/>
    <w:rsid w:val="00B25BD8"/>
    <w:rsid w:val="00B25E1D"/>
    <w:rsid w:val="00B25F9A"/>
    <w:rsid w:val="00B26085"/>
    <w:rsid w:val="00B2613A"/>
    <w:rsid w:val="00B263A3"/>
    <w:rsid w:val="00B263BE"/>
    <w:rsid w:val="00B26651"/>
    <w:rsid w:val="00B269CE"/>
    <w:rsid w:val="00B26C12"/>
    <w:rsid w:val="00B26F3F"/>
    <w:rsid w:val="00B2751E"/>
    <w:rsid w:val="00B2754A"/>
    <w:rsid w:val="00B2757B"/>
    <w:rsid w:val="00B27652"/>
    <w:rsid w:val="00B27D54"/>
    <w:rsid w:val="00B27DD3"/>
    <w:rsid w:val="00B30108"/>
    <w:rsid w:val="00B3039C"/>
    <w:rsid w:val="00B304FE"/>
    <w:rsid w:val="00B3098B"/>
    <w:rsid w:val="00B30F45"/>
    <w:rsid w:val="00B31320"/>
    <w:rsid w:val="00B316E7"/>
    <w:rsid w:val="00B317EB"/>
    <w:rsid w:val="00B31B47"/>
    <w:rsid w:val="00B31DAC"/>
    <w:rsid w:val="00B31E5F"/>
    <w:rsid w:val="00B322A7"/>
    <w:rsid w:val="00B32562"/>
    <w:rsid w:val="00B325D7"/>
    <w:rsid w:val="00B32607"/>
    <w:rsid w:val="00B326BE"/>
    <w:rsid w:val="00B326C3"/>
    <w:rsid w:val="00B327EE"/>
    <w:rsid w:val="00B329FD"/>
    <w:rsid w:val="00B32B1F"/>
    <w:rsid w:val="00B32F7F"/>
    <w:rsid w:val="00B33126"/>
    <w:rsid w:val="00B3340C"/>
    <w:rsid w:val="00B33607"/>
    <w:rsid w:val="00B338CE"/>
    <w:rsid w:val="00B3396B"/>
    <w:rsid w:val="00B33DD2"/>
    <w:rsid w:val="00B33F7C"/>
    <w:rsid w:val="00B33FD5"/>
    <w:rsid w:val="00B34307"/>
    <w:rsid w:val="00B34390"/>
    <w:rsid w:val="00B3442C"/>
    <w:rsid w:val="00B35208"/>
    <w:rsid w:val="00B3537B"/>
    <w:rsid w:val="00B3539A"/>
    <w:rsid w:val="00B35745"/>
    <w:rsid w:val="00B35C43"/>
    <w:rsid w:val="00B35CB3"/>
    <w:rsid w:val="00B35F8E"/>
    <w:rsid w:val="00B3689B"/>
    <w:rsid w:val="00B368FA"/>
    <w:rsid w:val="00B36DCE"/>
    <w:rsid w:val="00B36E9B"/>
    <w:rsid w:val="00B37188"/>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6D8"/>
    <w:rsid w:val="00B41728"/>
    <w:rsid w:val="00B41B34"/>
    <w:rsid w:val="00B41BEB"/>
    <w:rsid w:val="00B41DA9"/>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FAC"/>
    <w:rsid w:val="00B440CF"/>
    <w:rsid w:val="00B4418B"/>
    <w:rsid w:val="00B443C5"/>
    <w:rsid w:val="00B4443C"/>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6F0D"/>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1ECC"/>
    <w:rsid w:val="00B522DF"/>
    <w:rsid w:val="00B5238F"/>
    <w:rsid w:val="00B524B6"/>
    <w:rsid w:val="00B5258B"/>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6E0"/>
    <w:rsid w:val="00B5685D"/>
    <w:rsid w:val="00B56B1F"/>
    <w:rsid w:val="00B56D38"/>
    <w:rsid w:val="00B56D76"/>
    <w:rsid w:val="00B56E91"/>
    <w:rsid w:val="00B56F22"/>
    <w:rsid w:val="00B570A9"/>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8F9"/>
    <w:rsid w:val="00B6796C"/>
    <w:rsid w:val="00B679E2"/>
    <w:rsid w:val="00B67B2B"/>
    <w:rsid w:val="00B67DBA"/>
    <w:rsid w:val="00B67EA3"/>
    <w:rsid w:val="00B67ED1"/>
    <w:rsid w:val="00B7021B"/>
    <w:rsid w:val="00B70333"/>
    <w:rsid w:val="00B703F0"/>
    <w:rsid w:val="00B704C8"/>
    <w:rsid w:val="00B70995"/>
    <w:rsid w:val="00B70A49"/>
    <w:rsid w:val="00B70EDB"/>
    <w:rsid w:val="00B71319"/>
    <w:rsid w:val="00B71A5D"/>
    <w:rsid w:val="00B71C0F"/>
    <w:rsid w:val="00B71D35"/>
    <w:rsid w:val="00B71D41"/>
    <w:rsid w:val="00B71FBB"/>
    <w:rsid w:val="00B71FCF"/>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A0D"/>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EBB"/>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2C30"/>
    <w:rsid w:val="00B930AA"/>
    <w:rsid w:val="00B932E1"/>
    <w:rsid w:val="00B933CC"/>
    <w:rsid w:val="00B9391B"/>
    <w:rsid w:val="00B939E6"/>
    <w:rsid w:val="00B93C36"/>
    <w:rsid w:val="00B94054"/>
    <w:rsid w:val="00B94155"/>
    <w:rsid w:val="00B94253"/>
    <w:rsid w:val="00B9436E"/>
    <w:rsid w:val="00B946E7"/>
    <w:rsid w:val="00B950E8"/>
    <w:rsid w:val="00B95372"/>
    <w:rsid w:val="00B954FC"/>
    <w:rsid w:val="00B95A04"/>
    <w:rsid w:val="00B95B06"/>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59A"/>
    <w:rsid w:val="00BA68C1"/>
    <w:rsid w:val="00BA6A36"/>
    <w:rsid w:val="00BA6A73"/>
    <w:rsid w:val="00BA6D50"/>
    <w:rsid w:val="00BA6E96"/>
    <w:rsid w:val="00BA712E"/>
    <w:rsid w:val="00BA7423"/>
    <w:rsid w:val="00BA74DD"/>
    <w:rsid w:val="00BA7688"/>
    <w:rsid w:val="00BA7A20"/>
    <w:rsid w:val="00BA7EB0"/>
    <w:rsid w:val="00BB008F"/>
    <w:rsid w:val="00BB0229"/>
    <w:rsid w:val="00BB04ED"/>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3FB3"/>
    <w:rsid w:val="00BB4048"/>
    <w:rsid w:val="00BB46DE"/>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B9C"/>
    <w:rsid w:val="00BC4DD5"/>
    <w:rsid w:val="00BC5181"/>
    <w:rsid w:val="00BC56C1"/>
    <w:rsid w:val="00BC5BE8"/>
    <w:rsid w:val="00BC5CE2"/>
    <w:rsid w:val="00BC6103"/>
    <w:rsid w:val="00BC642E"/>
    <w:rsid w:val="00BC66F1"/>
    <w:rsid w:val="00BC6742"/>
    <w:rsid w:val="00BC6A9C"/>
    <w:rsid w:val="00BC70FB"/>
    <w:rsid w:val="00BC71C5"/>
    <w:rsid w:val="00BC729D"/>
    <w:rsid w:val="00BC7541"/>
    <w:rsid w:val="00BC758A"/>
    <w:rsid w:val="00BC7659"/>
    <w:rsid w:val="00BC791C"/>
    <w:rsid w:val="00BC7A42"/>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21E3"/>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7E1"/>
    <w:rsid w:val="00BD4A64"/>
    <w:rsid w:val="00BD4A8A"/>
    <w:rsid w:val="00BD4B4E"/>
    <w:rsid w:val="00BD4B66"/>
    <w:rsid w:val="00BD4E83"/>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A02"/>
    <w:rsid w:val="00BE2E99"/>
    <w:rsid w:val="00BE2EAB"/>
    <w:rsid w:val="00BE2ED6"/>
    <w:rsid w:val="00BE3434"/>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C1"/>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AA"/>
    <w:rsid w:val="00BF7CDD"/>
    <w:rsid w:val="00BF7D43"/>
    <w:rsid w:val="00BF7E8F"/>
    <w:rsid w:val="00C007CA"/>
    <w:rsid w:val="00C00C28"/>
    <w:rsid w:val="00C00E52"/>
    <w:rsid w:val="00C00F1A"/>
    <w:rsid w:val="00C010F5"/>
    <w:rsid w:val="00C01835"/>
    <w:rsid w:val="00C01C49"/>
    <w:rsid w:val="00C01DD8"/>
    <w:rsid w:val="00C01DFD"/>
    <w:rsid w:val="00C01F45"/>
    <w:rsid w:val="00C02192"/>
    <w:rsid w:val="00C02608"/>
    <w:rsid w:val="00C0279C"/>
    <w:rsid w:val="00C028B8"/>
    <w:rsid w:val="00C02B06"/>
    <w:rsid w:val="00C02BFD"/>
    <w:rsid w:val="00C02C1F"/>
    <w:rsid w:val="00C02C95"/>
    <w:rsid w:val="00C02CDE"/>
    <w:rsid w:val="00C03071"/>
    <w:rsid w:val="00C039DB"/>
    <w:rsid w:val="00C03ACF"/>
    <w:rsid w:val="00C03B7B"/>
    <w:rsid w:val="00C03C30"/>
    <w:rsid w:val="00C04322"/>
    <w:rsid w:val="00C04339"/>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822"/>
    <w:rsid w:val="00C06DBD"/>
    <w:rsid w:val="00C06F8C"/>
    <w:rsid w:val="00C07449"/>
    <w:rsid w:val="00C07510"/>
    <w:rsid w:val="00C07977"/>
    <w:rsid w:val="00C079A4"/>
    <w:rsid w:val="00C07A6C"/>
    <w:rsid w:val="00C07AE3"/>
    <w:rsid w:val="00C07AE4"/>
    <w:rsid w:val="00C07C5C"/>
    <w:rsid w:val="00C1030D"/>
    <w:rsid w:val="00C10406"/>
    <w:rsid w:val="00C104C8"/>
    <w:rsid w:val="00C10599"/>
    <w:rsid w:val="00C1077F"/>
    <w:rsid w:val="00C107EC"/>
    <w:rsid w:val="00C10D5A"/>
    <w:rsid w:val="00C10DB3"/>
    <w:rsid w:val="00C10F09"/>
    <w:rsid w:val="00C10F46"/>
    <w:rsid w:val="00C1114F"/>
    <w:rsid w:val="00C11183"/>
    <w:rsid w:val="00C11197"/>
    <w:rsid w:val="00C11253"/>
    <w:rsid w:val="00C11548"/>
    <w:rsid w:val="00C1157C"/>
    <w:rsid w:val="00C11647"/>
    <w:rsid w:val="00C11C33"/>
    <w:rsid w:val="00C11C73"/>
    <w:rsid w:val="00C11F37"/>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5E42"/>
    <w:rsid w:val="00C16095"/>
    <w:rsid w:val="00C16386"/>
    <w:rsid w:val="00C163EE"/>
    <w:rsid w:val="00C164BC"/>
    <w:rsid w:val="00C165C6"/>
    <w:rsid w:val="00C1662C"/>
    <w:rsid w:val="00C16813"/>
    <w:rsid w:val="00C16848"/>
    <w:rsid w:val="00C16ADB"/>
    <w:rsid w:val="00C16B16"/>
    <w:rsid w:val="00C16CF9"/>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0A9"/>
    <w:rsid w:val="00C24124"/>
    <w:rsid w:val="00C2423A"/>
    <w:rsid w:val="00C244D8"/>
    <w:rsid w:val="00C24601"/>
    <w:rsid w:val="00C24789"/>
    <w:rsid w:val="00C24EE5"/>
    <w:rsid w:val="00C250CF"/>
    <w:rsid w:val="00C2524F"/>
    <w:rsid w:val="00C2544D"/>
    <w:rsid w:val="00C25546"/>
    <w:rsid w:val="00C25803"/>
    <w:rsid w:val="00C25879"/>
    <w:rsid w:val="00C25C00"/>
    <w:rsid w:val="00C25C46"/>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82E"/>
    <w:rsid w:val="00C30C4B"/>
    <w:rsid w:val="00C30D3F"/>
    <w:rsid w:val="00C30DAA"/>
    <w:rsid w:val="00C30E47"/>
    <w:rsid w:val="00C30F1F"/>
    <w:rsid w:val="00C30FB5"/>
    <w:rsid w:val="00C30FB8"/>
    <w:rsid w:val="00C31089"/>
    <w:rsid w:val="00C31095"/>
    <w:rsid w:val="00C31312"/>
    <w:rsid w:val="00C314DF"/>
    <w:rsid w:val="00C315D4"/>
    <w:rsid w:val="00C3175A"/>
    <w:rsid w:val="00C319A2"/>
    <w:rsid w:val="00C3208A"/>
    <w:rsid w:val="00C3261E"/>
    <w:rsid w:val="00C32A16"/>
    <w:rsid w:val="00C32BB7"/>
    <w:rsid w:val="00C32CCE"/>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BC"/>
    <w:rsid w:val="00C37C44"/>
    <w:rsid w:val="00C37CA6"/>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D24"/>
    <w:rsid w:val="00C42F18"/>
    <w:rsid w:val="00C4388E"/>
    <w:rsid w:val="00C439F0"/>
    <w:rsid w:val="00C43CE7"/>
    <w:rsid w:val="00C43F70"/>
    <w:rsid w:val="00C44189"/>
    <w:rsid w:val="00C443E2"/>
    <w:rsid w:val="00C445BA"/>
    <w:rsid w:val="00C44757"/>
    <w:rsid w:val="00C447FB"/>
    <w:rsid w:val="00C44975"/>
    <w:rsid w:val="00C44F96"/>
    <w:rsid w:val="00C44FF2"/>
    <w:rsid w:val="00C45422"/>
    <w:rsid w:val="00C4587D"/>
    <w:rsid w:val="00C45A20"/>
    <w:rsid w:val="00C45AD9"/>
    <w:rsid w:val="00C45AF5"/>
    <w:rsid w:val="00C45B2C"/>
    <w:rsid w:val="00C45C66"/>
    <w:rsid w:val="00C46261"/>
    <w:rsid w:val="00C46B84"/>
    <w:rsid w:val="00C470AA"/>
    <w:rsid w:val="00C47AE8"/>
    <w:rsid w:val="00C47B93"/>
    <w:rsid w:val="00C47BDE"/>
    <w:rsid w:val="00C47D4D"/>
    <w:rsid w:val="00C47EC4"/>
    <w:rsid w:val="00C501BE"/>
    <w:rsid w:val="00C508B7"/>
    <w:rsid w:val="00C509D3"/>
    <w:rsid w:val="00C50AA6"/>
    <w:rsid w:val="00C511FD"/>
    <w:rsid w:val="00C51675"/>
    <w:rsid w:val="00C51694"/>
    <w:rsid w:val="00C51696"/>
    <w:rsid w:val="00C518AE"/>
    <w:rsid w:val="00C5193F"/>
    <w:rsid w:val="00C51D11"/>
    <w:rsid w:val="00C51D30"/>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B94"/>
    <w:rsid w:val="00C54C14"/>
    <w:rsid w:val="00C54C62"/>
    <w:rsid w:val="00C54CBD"/>
    <w:rsid w:val="00C54CDD"/>
    <w:rsid w:val="00C54DAA"/>
    <w:rsid w:val="00C54E1F"/>
    <w:rsid w:val="00C54FFC"/>
    <w:rsid w:val="00C55530"/>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D"/>
    <w:rsid w:val="00C61B0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6AB"/>
    <w:rsid w:val="00C709D7"/>
    <w:rsid w:val="00C70B8C"/>
    <w:rsid w:val="00C70E47"/>
    <w:rsid w:val="00C711DA"/>
    <w:rsid w:val="00C71327"/>
    <w:rsid w:val="00C71468"/>
    <w:rsid w:val="00C7216B"/>
    <w:rsid w:val="00C72183"/>
    <w:rsid w:val="00C723AF"/>
    <w:rsid w:val="00C723CA"/>
    <w:rsid w:val="00C725DC"/>
    <w:rsid w:val="00C72EA4"/>
    <w:rsid w:val="00C72EF5"/>
    <w:rsid w:val="00C7322E"/>
    <w:rsid w:val="00C7322F"/>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5004"/>
    <w:rsid w:val="00C755E8"/>
    <w:rsid w:val="00C75970"/>
    <w:rsid w:val="00C75AC4"/>
    <w:rsid w:val="00C75BAC"/>
    <w:rsid w:val="00C75C9D"/>
    <w:rsid w:val="00C75DD1"/>
    <w:rsid w:val="00C76261"/>
    <w:rsid w:val="00C762A9"/>
    <w:rsid w:val="00C76952"/>
    <w:rsid w:val="00C76B1D"/>
    <w:rsid w:val="00C77188"/>
    <w:rsid w:val="00C7731D"/>
    <w:rsid w:val="00C77753"/>
    <w:rsid w:val="00C7799E"/>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AC0"/>
    <w:rsid w:val="00C82F4B"/>
    <w:rsid w:val="00C831FC"/>
    <w:rsid w:val="00C8351F"/>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3"/>
    <w:rsid w:val="00C870BA"/>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94E"/>
    <w:rsid w:val="00C93D61"/>
    <w:rsid w:val="00C943AE"/>
    <w:rsid w:val="00C94462"/>
    <w:rsid w:val="00C945EC"/>
    <w:rsid w:val="00C947E8"/>
    <w:rsid w:val="00C94A5E"/>
    <w:rsid w:val="00C94B58"/>
    <w:rsid w:val="00C94BBA"/>
    <w:rsid w:val="00C94E45"/>
    <w:rsid w:val="00C95300"/>
    <w:rsid w:val="00C95548"/>
    <w:rsid w:val="00C955BD"/>
    <w:rsid w:val="00C955F6"/>
    <w:rsid w:val="00C95656"/>
    <w:rsid w:val="00C95730"/>
    <w:rsid w:val="00C95815"/>
    <w:rsid w:val="00C95962"/>
    <w:rsid w:val="00C959AA"/>
    <w:rsid w:val="00C95EC0"/>
    <w:rsid w:val="00C95F63"/>
    <w:rsid w:val="00C963E1"/>
    <w:rsid w:val="00C965AD"/>
    <w:rsid w:val="00C96A24"/>
    <w:rsid w:val="00C96D37"/>
    <w:rsid w:val="00C96D71"/>
    <w:rsid w:val="00C96F89"/>
    <w:rsid w:val="00C96FE0"/>
    <w:rsid w:val="00C97131"/>
    <w:rsid w:val="00C97572"/>
    <w:rsid w:val="00C9785E"/>
    <w:rsid w:val="00C97893"/>
    <w:rsid w:val="00C97913"/>
    <w:rsid w:val="00C97AF1"/>
    <w:rsid w:val="00C97D05"/>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E9"/>
    <w:rsid w:val="00CA397F"/>
    <w:rsid w:val="00CA3E51"/>
    <w:rsid w:val="00CA3EE7"/>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B5A"/>
    <w:rsid w:val="00CB0CE5"/>
    <w:rsid w:val="00CB11BD"/>
    <w:rsid w:val="00CB1368"/>
    <w:rsid w:val="00CB167F"/>
    <w:rsid w:val="00CB179C"/>
    <w:rsid w:val="00CB1C31"/>
    <w:rsid w:val="00CB1F2A"/>
    <w:rsid w:val="00CB221F"/>
    <w:rsid w:val="00CB2426"/>
    <w:rsid w:val="00CB283F"/>
    <w:rsid w:val="00CB28AE"/>
    <w:rsid w:val="00CB2918"/>
    <w:rsid w:val="00CB299C"/>
    <w:rsid w:val="00CB2BBA"/>
    <w:rsid w:val="00CB3404"/>
    <w:rsid w:val="00CB35C5"/>
    <w:rsid w:val="00CB35ED"/>
    <w:rsid w:val="00CB38FE"/>
    <w:rsid w:val="00CB3942"/>
    <w:rsid w:val="00CB39EB"/>
    <w:rsid w:val="00CB3C1A"/>
    <w:rsid w:val="00CB41E7"/>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9DC"/>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296"/>
    <w:rsid w:val="00CD5318"/>
    <w:rsid w:val="00CD5ADA"/>
    <w:rsid w:val="00CD5C02"/>
    <w:rsid w:val="00CD5F80"/>
    <w:rsid w:val="00CD61E3"/>
    <w:rsid w:val="00CD622D"/>
    <w:rsid w:val="00CD6350"/>
    <w:rsid w:val="00CD6823"/>
    <w:rsid w:val="00CD6D63"/>
    <w:rsid w:val="00CD6E0B"/>
    <w:rsid w:val="00CD6EF0"/>
    <w:rsid w:val="00CD70FA"/>
    <w:rsid w:val="00CD768E"/>
    <w:rsid w:val="00CD7707"/>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363"/>
    <w:rsid w:val="00CE253D"/>
    <w:rsid w:val="00CE2D87"/>
    <w:rsid w:val="00CE3257"/>
    <w:rsid w:val="00CE3395"/>
    <w:rsid w:val="00CE38AA"/>
    <w:rsid w:val="00CE3A09"/>
    <w:rsid w:val="00CE3C72"/>
    <w:rsid w:val="00CE3CDC"/>
    <w:rsid w:val="00CE3D16"/>
    <w:rsid w:val="00CE3D41"/>
    <w:rsid w:val="00CE3DA0"/>
    <w:rsid w:val="00CE3FBA"/>
    <w:rsid w:val="00CE4C1E"/>
    <w:rsid w:val="00CE528D"/>
    <w:rsid w:val="00CE52E0"/>
    <w:rsid w:val="00CE5386"/>
    <w:rsid w:val="00CE53A7"/>
    <w:rsid w:val="00CE54BC"/>
    <w:rsid w:val="00CE55B0"/>
    <w:rsid w:val="00CE56FD"/>
    <w:rsid w:val="00CE5766"/>
    <w:rsid w:val="00CE5809"/>
    <w:rsid w:val="00CE5DFA"/>
    <w:rsid w:val="00CE5E50"/>
    <w:rsid w:val="00CE5EC0"/>
    <w:rsid w:val="00CE5F5F"/>
    <w:rsid w:val="00CE5FE8"/>
    <w:rsid w:val="00CE6163"/>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57C"/>
    <w:rsid w:val="00CF06E6"/>
    <w:rsid w:val="00CF085C"/>
    <w:rsid w:val="00CF126F"/>
    <w:rsid w:val="00CF1685"/>
    <w:rsid w:val="00CF18AB"/>
    <w:rsid w:val="00CF1AA6"/>
    <w:rsid w:val="00CF1C27"/>
    <w:rsid w:val="00CF20C8"/>
    <w:rsid w:val="00CF2214"/>
    <w:rsid w:val="00CF2305"/>
    <w:rsid w:val="00CF2606"/>
    <w:rsid w:val="00CF2639"/>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84"/>
    <w:rsid w:val="00CF76AE"/>
    <w:rsid w:val="00CF7BB4"/>
    <w:rsid w:val="00CF7CCF"/>
    <w:rsid w:val="00CF7D15"/>
    <w:rsid w:val="00CF7D8D"/>
    <w:rsid w:val="00CF7E23"/>
    <w:rsid w:val="00D00250"/>
    <w:rsid w:val="00D0033A"/>
    <w:rsid w:val="00D00374"/>
    <w:rsid w:val="00D0050D"/>
    <w:rsid w:val="00D00522"/>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FF"/>
    <w:rsid w:val="00D02E17"/>
    <w:rsid w:val="00D02F2F"/>
    <w:rsid w:val="00D0321D"/>
    <w:rsid w:val="00D0377C"/>
    <w:rsid w:val="00D0392D"/>
    <w:rsid w:val="00D03BC0"/>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5280"/>
    <w:rsid w:val="00D1552A"/>
    <w:rsid w:val="00D15675"/>
    <w:rsid w:val="00D15D9D"/>
    <w:rsid w:val="00D16056"/>
    <w:rsid w:val="00D160DE"/>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D40"/>
    <w:rsid w:val="00D23155"/>
    <w:rsid w:val="00D23380"/>
    <w:rsid w:val="00D233EA"/>
    <w:rsid w:val="00D23426"/>
    <w:rsid w:val="00D2348D"/>
    <w:rsid w:val="00D234B2"/>
    <w:rsid w:val="00D23556"/>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4A"/>
    <w:rsid w:val="00D26283"/>
    <w:rsid w:val="00D263B5"/>
    <w:rsid w:val="00D26586"/>
    <w:rsid w:val="00D2664C"/>
    <w:rsid w:val="00D2670D"/>
    <w:rsid w:val="00D26B2E"/>
    <w:rsid w:val="00D26DBE"/>
    <w:rsid w:val="00D2794D"/>
    <w:rsid w:val="00D27AAD"/>
    <w:rsid w:val="00D27F01"/>
    <w:rsid w:val="00D30200"/>
    <w:rsid w:val="00D30373"/>
    <w:rsid w:val="00D30746"/>
    <w:rsid w:val="00D308E5"/>
    <w:rsid w:val="00D309B2"/>
    <w:rsid w:val="00D309D3"/>
    <w:rsid w:val="00D30ADA"/>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5DA2"/>
    <w:rsid w:val="00D3609F"/>
    <w:rsid w:val="00D360B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3888"/>
    <w:rsid w:val="00D439BB"/>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CF0"/>
    <w:rsid w:val="00D52E1D"/>
    <w:rsid w:val="00D5322A"/>
    <w:rsid w:val="00D53685"/>
    <w:rsid w:val="00D53768"/>
    <w:rsid w:val="00D537B0"/>
    <w:rsid w:val="00D54214"/>
    <w:rsid w:val="00D54370"/>
    <w:rsid w:val="00D5438E"/>
    <w:rsid w:val="00D544A2"/>
    <w:rsid w:val="00D54C59"/>
    <w:rsid w:val="00D54CA0"/>
    <w:rsid w:val="00D54D88"/>
    <w:rsid w:val="00D5521C"/>
    <w:rsid w:val="00D554E6"/>
    <w:rsid w:val="00D55538"/>
    <w:rsid w:val="00D55568"/>
    <w:rsid w:val="00D55723"/>
    <w:rsid w:val="00D558F8"/>
    <w:rsid w:val="00D55B68"/>
    <w:rsid w:val="00D55BD5"/>
    <w:rsid w:val="00D55C37"/>
    <w:rsid w:val="00D56330"/>
    <w:rsid w:val="00D563C2"/>
    <w:rsid w:val="00D56810"/>
    <w:rsid w:val="00D56C31"/>
    <w:rsid w:val="00D56D65"/>
    <w:rsid w:val="00D572B2"/>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DD6"/>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615"/>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9AC"/>
    <w:rsid w:val="00D82AA1"/>
    <w:rsid w:val="00D82C77"/>
    <w:rsid w:val="00D83401"/>
    <w:rsid w:val="00D83850"/>
    <w:rsid w:val="00D8387E"/>
    <w:rsid w:val="00D83CED"/>
    <w:rsid w:val="00D83F09"/>
    <w:rsid w:val="00D8403D"/>
    <w:rsid w:val="00D84268"/>
    <w:rsid w:val="00D84278"/>
    <w:rsid w:val="00D8445B"/>
    <w:rsid w:val="00D846C5"/>
    <w:rsid w:val="00D847C6"/>
    <w:rsid w:val="00D84ABA"/>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A2F"/>
    <w:rsid w:val="00D93EF4"/>
    <w:rsid w:val="00D943A4"/>
    <w:rsid w:val="00D94909"/>
    <w:rsid w:val="00D949DC"/>
    <w:rsid w:val="00D94BB0"/>
    <w:rsid w:val="00D94C5D"/>
    <w:rsid w:val="00D94FF3"/>
    <w:rsid w:val="00D95322"/>
    <w:rsid w:val="00D955B0"/>
    <w:rsid w:val="00D957C0"/>
    <w:rsid w:val="00D95B58"/>
    <w:rsid w:val="00D95BC2"/>
    <w:rsid w:val="00D95BFF"/>
    <w:rsid w:val="00D95E1E"/>
    <w:rsid w:val="00D95F45"/>
    <w:rsid w:val="00D95FA6"/>
    <w:rsid w:val="00D960F8"/>
    <w:rsid w:val="00D96AD5"/>
    <w:rsid w:val="00D96BDF"/>
    <w:rsid w:val="00D96CDB"/>
    <w:rsid w:val="00D9748F"/>
    <w:rsid w:val="00D9793D"/>
    <w:rsid w:val="00D97B21"/>
    <w:rsid w:val="00D97CE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41FE"/>
    <w:rsid w:val="00DA42D1"/>
    <w:rsid w:val="00DA43CA"/>
    <w:rsid w:val="00DA4562"/>
    <w:rsid w:val="00DA492A"/>
    <w:rsid w:val="00DA49D8"/>
    <w:rsid w:val="00DA4D72"/>
    <w:rsid w:val="00DA4E82"/>
    <w:rsid w:val="00DA5B1D"/>
    <w:rsid w:val="00DA5CA9"/>
    <w:rsid w:val="00DA5DE0"/>
    <w:rsid w:val="00DA5E7E"/>
    <w:rsid w:val="00DA6614"/>
    <w:rsid w:val="00DA6719"/>
    <w:rsid w:val="00DA6CAC"/>
    <w:rsid w:val="00DA6DE0"/>
    <w:rsid w:val="00DA714A"/>
    <w:rsid w:val="00DA71AF"/>
    <w:rsid w:val="00DA727D"/>
    <w:rsid w:val="00DA7461"/>
    <w:rsid w:val="00DA75F8"/>
    <w:rsid w:val="00DA7A85"/>
    <w:rsid w:val="00DA7ACD"/>
    <w:rsid w:val="00DA7B93"/>
    <w:rsid w:val="00DA7BC7"/>
    <w:rsid w:val="00DA7E4C"/>
    <w:rsid w:val="00DA7EC1"/>
    <w:rsid w:val="00DB0564"/>
    <w:rsid w:val="00DB05B1"/>
    <w:rsid w:val="00DB0943"/>
    <w:rsid w:val="00DB0C68"/>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3BD"/>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772"/>
    <w:rsid w:val="00DB7BC3"/>
    <w:rsid w:val="00DB7D83"/>
    <w:rsid w:val="00DB7E8C"/>
    <w:rsid w:val="00DC078B"/>
    <w:rsid w:val="00DC0B16"/>
    <w:rsid w:val="00DC0C9C"/>
    <w:rsid w:val="00DC0F93"/>
    <w:rsid w:val="00DC105D"/>
    <w:rsid w:val="00DC12E3"/>
    <w:rsid w:val="00DC1384"/>
    <w:rsid w:val="00DC1479"/>
    <w:rsid w:val="00DC1624"/>
    <w:rsid w:val="00DC1763"/>
    <w:rsid w:val="00DC1FCC"/>
    <w:rsid w:val="00DC22B7"/>
    <w:rsid w:val="00DC24F7"/>
    <w:rsid w:val="00DC257F"/>
    <w:rsid w:val="00DC2898"/>
    <w:rsid w:val="00DC28A6"/>
    <w:rsid w:val="00DC28EC"/>
    <w:rsid w:val="00DC2E1F"/>
    <w:rsid w:val="00DC33E2"/>
    <w:rsid w:val="00DC33F8"/>
    <w:rsid w:val="00DC3417"/>
    <w:rsid w:val="00DC3497"/>
    <w:rsid w:val="00DC3962"/>
    <w:rsid w:val="00DC3965"/>
    <w:rsid w:val="00DC3DE4"/>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2DF"/>
    <w:rsid w:val="00DD3401"/>
    <w:rsid w:val="00DD3430"/>
    <w:rsid w:val="00DD343D"/>
    <w:rsid w:val="00DD3480"/>
    <w:rsid w:val="00DD3565"/>
    <w:rsid w:val="00DD3AA3"/>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38B"/>
    <w:rsid w:val="00DE6ACB"/>
    <w:rsid w:val="00DE6B38"/>
    <w:rsid w:val="00DE6BED"/>
    <w:rsid w:val="00DE6EC6"/>
    <w:rsid w:val="00DE7128"/>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558"/>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2F87"/>
    <w:rsid w:val="00E0324B"/>
    <w:rsid w:val="00E0345F"/>
    <w:rsid w:val="00E03678"/>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8D5"/>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EE"/>
    <w:rsid w:val="00E101F9"/>
    <w:rsid w:val="00E102BD"/>
    <w:rsid w:val="00E1039D"/>
    <w:rsid w:val="00E103F8"/>
    <w:rsid w:val="00E104ED"/>
    <w:rsid w:val="00E10631"/>
    <w:rsid w:val="00E10B18"/>
    <w:rsid w:val="00E10BE0"/>
    <w:rsid w:val="00E11124"/>
    <w:rsid w:val="00E1152A"/>
    <w:rsid w:val="00E11B7C"/>
    <w:rsid w:val="00E11EB8"/>
    <w:rsid w:val="00E11F35"/>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B6"/>
    <w:rsid w:val="00E149D5"/>
    <w:rsid w:val="00E14A9F"/>
    <w:rsid w:val="00E14F70"/>
    <w:rsid w:val="00E150B1"/>
    <w:rsid w:val="00E15352"/>
    <w:rsid w:val="00E153A7"/>
    <w:rsid w:val="00E154A1"/>
    <w:rsid w:val="00E15A42"/>
    <w:rsid w:val="00E15B94"/>
    <w:rsid w:val="00E15BF2"/>
    <w:rsid w:val="00E15ED2"/>
    <w:rsid w:val="00E1648F"/>
    <w:rsid w:val="00E164E8"/>
    <w:rsid w:val="00E1654E"/>
    <w:rsid w:val="00E167D4"/>
    <w:rsid w:val="00E16AFF"/>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A0"/>
    <w:rsid w:val="00E259D3"/>
    <w:rsid w:val="00E25DAB"/>
    <w:rsid w:val="00E25DE0"/>
    <w:rsid w:val="00E25F1D"/>
    <w:rsid w:val="00E25F49"/>
    <w:rsid w:val="00E2617B"/>
    <w:rsid w:val="00E2690E"/>
    <w:rsid w:val="00E269FA"/>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619"/>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1C1"/>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06E"/>
    <w:rsid w:val="00E40362"/>
    <w:rsid w:val="00E404B4"/>
    <w:rsid w:val="00E40966"/>
    <w:rsid w:val="00E40A2C"/>
    <w:rsid w:val="00E40B52"/>
    <w:rsid w:val="00E40ED0"/>
    <w:rsid w:val="00E41062"/>
    <w:rsid w:val="00E41471"/>
    <w:rsid w:val="00E4180B"/>
    <w:rsid w:val="00E41A22"/>
    <w:rsid w:val="00E41BAC"/>
    <w:rsid w:val="00E41CDE"/>
    <w:rsid w:val="00E42027"/>
    <w:rsid w:val="00E422B2"/>
    <w:rsid w:val="00E4252B"/>
    <w:rsid w:val="00E42532"/>
    <w:rsid w:val="00E42632"/>
    <w:rsid w:val="00E427A0"/>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5C09"/>
    <w:rsid w:val="00E4607A"/>
    <w:rsid w:val="00E460A1"/>
    <w:rsid w:val="00E46809"/>
    <w:rsid w:val="00E46A54"/>
    <w:rsid w:val="00E46CC9"/>
    <w:rsid w:val="00E474ED"/>
    <w:rsid w:val="00E47C2F"/>
    <w:rsid w:val="00E47D5F"/>
    <w:rsid w:val="00E47D96"/>
    <w:rsid w:val="00E47F73"/>
    <w:rsid w:val="00E47FDB"/>
    <w:rsid w:val="00E50197"/>
    <w:rsid w:val="00E501A1"/>
    <w:rsid w:val="00E508D6"/>
    <w:rsid w:val="00E515A3"/>
    <w:rsid w:val="00E515A6"/>
    <w:rsid w:val="00E5174B"/>
    <w:rsid w:val="00E518A2"/>
    <w:rsid w:val="00E51A16"/>
    <w:rsid w:val="00E51E23"/>
    <w:rsid w:val="00E51ED0"/>
    <w:rsid w:val="00E523F3"/>
    <w:rsid w:val="00E52F76"/>
    <w:rsid w:val="00E53125"/>
    <w:rsid w:val="00E5315C"/>
    <w:rsid w:val="00E534EA"/>
    <w:rsid w:val="00E537C1"/>
    <w:rsid w:val="00E538E0"/>
    <w:rsid w:val="00E53923"/>
    <w:rsid w:val="00E53E31"/>
    <w:rsid w:val="00E542C2"/>
    <w:rsid w:val="00E547DF"/>
    <w:rsid w:val="00E54A5A"/>
    <w:rsid w:val="00E54B12"/>
    <w:rsid w:val="00E54B17"/>
    <w:rsid w:val="00E54CC0"/>
    <w:rsid w:val="00E54D33"/>
    <w:rsid w:val="00E54DC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7CD"/>
    <w:rsid w:val="00E63A8C"/>
    <w:rsid w:val="00E64050"/>
    <w:rsid w:val="00E64327"/>
    <w:rsid w:val="00E643D0"/>
    <w:rsid w:val="00E64763"/>
    <w:rsid w:val="00E647DC"/>
    <w:rsid w:val="00E6484F"/>
    <w:rsid w:val="00E64B4F"/>
    <w:rsid w:val="00E64C7B"/>
    <w:rsid w:val="00E65333"/>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2C01"/>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2F"/>
    <w:rsid w:val="00E76141"/>
    <w:rsid w:val="00E76270"/>
    <w:rsid w:val="00E7663E"/>
    <w:rsid w:val="00E76B45"/>
    <w:rsid w:val="00E77040"/>
    <w:rsid w:val="00E772C4"/>
    <w:rsid w:val="00E77655"/>
    <w:rsid w:val="00E778F8"/>
    <w:rsid w:val="00E8016D"/>
    <w:rsid w:val="00E804C9"/>
    <w:rsid w:val="00E805A6"/>
    <w:rsid w:val="00E807B4"/>
    <w:rsid w:val="00E80CE8"/>
    <w:rsid w:val="00E810EC"/>
    <w:rsid w:val="00E8112C"/>
    <w:rsid w:val="00E81587"/>
    <w:rsid w:val="00E81EB9"/>
    <w:rsid w:val="00E82356"/>
    <w:rsid w:val="00E82411"/>
    <w:rsid w:val="00E824FB"/>
    <w:rsid w:val="00E826C2"/>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4B2D"/>
    <w:rsid w:val="00E85233"/>
    <w:rsid w:val="00E852C1"/>
    <w:rsid w:val="00E852FA"/>
    <w:rsid w:val="00E853AC"/>
    <w:rsid w:val="00E85483"/>
    <w:rsid w:val="00E854EA"/>
    <w:rsid w:val="00E856D9"/>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0D7A"/>
    <w:rsid w:val="00E9109D"/>
    <w:rsid w:val="00E91139"/>
    <w:rsid w:val="00E915C2"/>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ADF"/>
    <w:rsid w:val="00E93B3D"/>
    <w:rsid w:val="00E93D80"/>
    <w:rsid w:val="00E93FD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00E"/>
    <w:rsid w:val="00EA0281"/>
    <w:rsid w:val="00EA0BD3"/>
    <w:rsid w:val="00EA0BFA"/>
    <w:rsid w:val="00EA0E05"/>
    <w:rsid w:val="00EA0E10"/>
    <w:rsid w:val="00EA148D"/>
    <w:rsid w:val="00EA152D"/>
    <w:rsid w:val="00EA1A5B"/>
    <w:rsid w:val="00EA1B19"/>
    <w:rsid w:val="00EA1B4A"/>
    <w:rsid w:val="00EA1BF0"/>
    <w:rsid w:val="00EA1CC1"/>
    <w:rsid w:val="00EA1E46"/>
    <w:rsid w:val="00EA2271"/>
    <w:rsid w:val="00EA2585"/>
    <w:rsid w:val="00EA25AE"/>
    <w:rsid w:val="00EA2730"/>
    <w:rsid w:val="00EA2768"/>
    <w:rsid w:val="00EA27DB"/>
    <w:rsid w:val="00EA2F23"/>
    <w:rsid w:val="00EA3027"/>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D16"/>
    <w:rsid w:val="00EA6E29"/>
    <w:rsid w:val="00EA6E8A"/>
    <w:rsid w:val="00EA79D4"/>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64E7"/>
    <w:rsid w:val="00EB6721"/>
    <w:rsid w:val="00EB6A9F"/>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8"/>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8D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8BE"/>
    <w:rsid w:val="00ED09C8"/>
    <w:rsid w:val="00ED0DE8"/>
    <w:rsid w:val="00ED0EB9"/>
    <w:rsid w:val="00ED1293"/>
    <w:rsid w:val="00ED17D6"/>
    <w:rsid w:val="00ED18C7"/>
    <w:rsid w:val="00ED1A21"/>
    <w:rsid w:val="00ED1A39"/>
    <w:rsid w:val="00ED1BCE"/>
    <w:rsid w:val="00ED1CD6"/>
    <w:rsid w:val="00ED1E7D"/>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261"/>
    <w:rsid w:val="00ED4308"/>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5E46"/>
    <w:rsid w:val="00EE5EC5"/>
    <w:rsid w:val="00EE6295"/>
    <w:rsid w:val="00EE62B4"/>
    <w:rsid w:val="00EE636D"/>
    <w:rsid w:val="00EE66B1"/>
    <w:rsid w:val="00EE6768"/>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82A"/>
    <w:rsid w:val="00EF0E50"/>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EF5"/>
    <w:rsid w:val="00EF6F6C"/>
    <w:rsid w:val="00EF704E"/>
    <w:rsid w:val="00EF70D0"/>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40A"/>
    <w:rsid w:val="00F077E9"/>
    <w:rsid w:val="00F07834"/>
    <w:rsid w:val="00F07EAE"/>
    <w:rsid w:val="00F10193"/>
    <w:rsid w:val="00F10437"/>
    <w:rsid w:val="00F10465"/>
    <w:rsid w:val="00F10864"/>
    <w:rsid w:val="00F10992"/>
    <w:rsid w:val="00F1165E"/>
    <w:rsid w:val="00F11CF5"/>
    <w:rsid w:val="00F11FF0"/>
    <w:rsid w:val="00F12768"/>
    <w:rsid w:val="00F12A26"/>
    <w:rsid w:val="00F12B3D"/>
    <w:rsid w:val="00F12CC1"/>
    <w:rsid w:val="00F12EF0"/>
    <w:rsid w:val="00F131B6"/>
    <w:rsid w:val="00F13242"/>
    <w:rsid w:val="00F13634"/>
    <w:rsid w:val="00F13748"/>
    <w:rsid w:val="00F13D7C"/>
    <w:rsid w:val="00F13E52"/>
    <w:rsid w:val="00F13E95"/>
    <w:rsid w:val="00F1403E"/>
    <w:rsid w:val="00F140C1"/>
    <w:rsid w:val="00F140FE"/>
    <w:rsid w:val="00F1415B"/>
    <w:rsid w:val="00F1423D"/>
    <w:rsid w:val="00F14476"/>
    <w:rsid w:val="00F14537"/>
    <w:rsid w:val="00F14FB4"/>
    <w:rsid w:val="00F158E8"/>
    <w:rsid w:val="00F15CE7"/>
    <w:rsid w:val="00F15FC9"/>
    <w:rsid w:val="00F165FF"/>
    <w:rsid w:val="00F16958"/>
    <w:rsid w:val="00F16BB1"/>
    <w:rsid w:val="00F16F68"/>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2C5"/>
    <w:rsid w:val="00F318E7"/>
    <w:rsid w:val="00F31DED"/>
    <w:rsid w:val="00F31F17"/>
    <w:rsid w:val="00F31FB1"/>
    <w:rsid w:val="00F3215C"/>
    <w:rsid w:val="00F3236F"/>
    <w:rsid w:val="00F32374"/>
    <w:rsid w:val="00F323CB"/>
    <w:rsid w:val="00F32420"/>
    <w:rsid w:val="00F32AEF"/>
    <w:rsid w:val="00F32DD1"/>
    <w:rsid w:val="00F32F0E"/>
    <w:rsid w:val="00F32F3E"/>
    <w:rsid w:val="00F33155"/>
    <w:rsid w:val="00F33315"/>
    <w:rsid w:val="00F3333E"/>
    <w:rsid w:val="00F334E4"/>
    <w:rsid w:val="00F33690"/>
    <w:rsid w:val="00F3383E"/>
    <w:rsid w:val="00F339B9"/>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22A"/>
    <w:rsid w:val="00F362A3"/>
    <w:rsid w:val="00F36338"/>
    <w:rsid w:val="00F364CE"/>
    <w:rsid w:val="00F366CE"/>
    <w:rsid w:val="00F369E8"/>
    <w:rsid w:val="00F369FF"/>
    <w:rsid w:val="00F36BBA"/>
    <w:rsid w:val="00F36BD9"/>
    <w:rsid w:val="00F3709B"/>
    <w:rsid w:val="00F37430"/>
    <w:rsid w:val="00F377A2"/>
    <w:rsid w:val="00F37922"/>
    <w:rsid w:val="00F3799E"/>
    <w:rsid w:val="00F37AEF"/>
    <w:rsid w:val="00F37DC6"/>
    <w:rsid w:val="00F4019B"/>
    <w:rsid w:val="00F405F3"/>
    <w:rsid w:val="00F40710"/>
    <w:rsid w:val="00F40C37"/>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D61"/>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EA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4D93"/>
    <w:rsid w:val="00F553D1"/>
    <w:rsid w:val="00F558E3"/>
    <w:rsid w:val="00F55AC5"/>
    <w:rsid w:val="00F55C4A"/>
    <w:rsid w:val="00F55EBA"/>
    <w:rsid w:val="00F562A0"/>
    <w:rsid w:val="00F564B4"/>
    <w:rsid w:val="00F5676C"/>
    <w:rsid w:val="00F56C42"/>
    <w:rsid w:val="00F56D31"/>
    <w:rsid w:val="00F57183"/>
    <w:rsid w:val="00F573C5"/>
    <w:rsid w:val="00F57492"/>
    <w:rsid w:val="00F5765A"/>
    <w:rsid w:val="00F5783B"/>
    <w:rsid w:val="00F57991"/>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302"/>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63C"/>
    <w:rsid w:val="00F67906"/>
    <w:rsid w:val="00F67A85"/>
    <w:rsid w:val="00F67D0D"/>
    <w:rsid w:val="00F70012"/>
    <w:rsid w:val="00F706E7"/>
    <w:rsid w:val="00F70AAB"/>
    <w:rsid w:val="00F70C5B"/>
    <w:rsid w:val="00F70DDA"/>
    <w:rsid w:val="00F71026"/>
    <w:rsid w:val="00F71042"/>
    <w:rsid w:val="00F710A0"/>
    <w:rsid w:val="00F710D9"/>
    <w:rsid w:val="00F71976"/>
    <w:rsid w:val="00F71C07"/>
    <w:rsid w:val="00F71F79"/>
    <w:rsid w:val="00F7219A"/>
    <w:rsid w:val="00F721A1"/>
    <w:rsid w:val="00F724E3"/>
    <w:rsid w:val="00F72524"/>
    <w:rsid w:val="00F727AA"/>
    <w:rsid w:val="00F72C94"/>
    <w:rsid w:val="00F737DA"/>
    <w:rsid w:val="00F73F43"/>
    <w:rsid w:val="00F74664"/>
    <w:rsid w:val="00F74791"/>
    <w:rsid w:val="00F747FD"/>
    <w:rsid w:val="00F74A7A"/>
    <w:rsid w:val="00F752BB"/>
    <w:rsid w:val="00F75399"/>
    <w:rsid w:val="00F75C0B"/>
    <w:rsid w:val="00F75CA7"/>
    <w:rsid w:val="00F75E09"/>
    <w:rsid w:val="00F763DF"/>
    <w:rsid w:val="00F765C4"/>
    <w:rsid w:val="00F7670C"/>
    <w:rsid w:val="00F76A53"/>
    <w:rsid w:val="00F76BAD"/>
    <w:rsid w:val="00F77028"/>
    <w:rsid w:val="00F77202"/>
    <w:rsid w:val="00F77333"/>
    <w:rsid w:val="00F7792A"/>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625"/>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0E0"/>
    <w:rsid w:val="00F83301"/>
    <w:rsid w:val="00F83473"/>
    <w:rsid w:val="00F837DD"/>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4FC4"/>
    <w:rsid w:val="00FA504E"/>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B8D"/>
    <w:rsid w:val="00FA6F59"/>
    <w:rsid w:val="00FA73BA"/>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22E5"/>
    <w:rsid w:val="00FB2363"/>
    <w:rsid w:val="00FB2719"/>
    <w:rsid w:val="00FB2864"/>
    <w:rsid w:val="00FB2F94"/>
    <w:rsid w:val="00FB2FD8"/>
    <w:rsid w:val="00FB3006"/>
    <w:rsid w:val="00FB305A"/>
    <w:rsid w:val="00FB3210"/>
    <w:rsid w:val="00FB3333"/>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CA"/>
    <w:rsid w:val="00FB6884"/>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829"/>
    <w:rsid w:val="00FC1859"/>
    <w:rsid w:val="00FC1AB5"/>
    <w:rsid w:val="00FC1CA9"/>
    <w:rsid w:val="00FC1E51"/>
    <w:rsid w:val="00FC1EBD"/>
    <w:rsid w:val="00FC1FFB"/>
    <w:rsid w:val="00FC20F2"/>
    <w:rsid w:val="00FC22FE"/>
    <w:rsid w:val="00FC23E0"/>
    <w:rsid w:val="00FC23FA"/>
    <w:rsid w:val="00FC240C"/>
    <w:rsid w:val="00FC2742"/>
    <w:rsid w:val="00FC28DE"/>
    <w:rsid w:val="00FC31D4"/>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0E8A"/>
    <w:rsid w:val="00FD10D2"/>
    <w:rsid w:val="00FD1608"/>
    <w:rsid w:val="00FD1A3D"/>
    <w:rsid w:val="00FD1A54"/>
    <w:rsid w:val="00FD2358"/>
    <w:rsid w:val="00FD235B"/>
    <w:rsid w:val="00FD2499"/>
    <w:rsid w:val="00FD279F"/>
    <w:rsid w:val="00FD2804"/>
    <w:rsid w:val="00FD282A"/>
    <w:rsid w:val="00FD282E"/>
    <w:rsid w:val="00FD2916"/>
    <w:rsid w:val="00FD2A71"/>
    <w:rsid w:val="00FD2C18"/>
    <w:rsid w:val="00FD2D37"/>
    <w:rsid w:val="00FD2EB2"/>
    <w:rsid w:val="00FD2EFA"/>
    <w:rsid w:val="00FD3124"/>
    <w:rsid w:val="00FD3377"/>
    <w:rsid w:val="00FD3665"/>
    <w:rsid w:val="00FD37DA"/>
    <w:rsid w:val="00FD3905"/>
    <w:rsid w:val="00FD3A06"/>
    <w:rsid w:val="00FD3E26"/>
    <w:rsid w:val="00FD3E66"/>
    <w:rsid w:val="00FD3EBC"/>
    <w:rsid w:val="00FD4249"/>
    <w:rsid w:val="00FD4CA7"/>
    <w:rsid w:val="00FD4CC0"/>
    <w:rsid w:val="00FD4CE8"/>
    <w:rsid w:val="00FD5999"/>
    <w:rsid w:val="00FD5B76"/>
    <w:rsid w:val="00FD5D9B"/>
    <w:rsid w:val="00FD6318"/>
    <w:rsid w:val="00FD6558"/>
    <w:rsid w:val="00FD679B"/>
    <w:rsid w:val="00FD6A3D"/>
    <w:rsid w:val="00FD6CB6"/>
    <w:rsid w:val="00FD6D13"/>
    <w:rsid w:val="00FD6F9D"/>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2F23"/>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9E9"/>
    <w:rsid w:val="00FE7A09"/>
    <w:rsid w:val="00FE7B08"/>
    <w:rsid w:val="00FE7C38"/>
    <w:rsid w:val="00FE7D2A"/>
    <w:rsid w:val="00FF01C5"/>
    <w:rsid w:val="00FF01E6"/>
    <w:rsid w:val="00FF0224"/>
    <w:rsid w:val="00FF0289"/>
    <w:rsid w:val="00FF02D6"/>
    <w:rsid w:val="00FF03D3"/>
    <w:rsid w:val="00FF060F"/>
    <w:rsid w:val="00FF06C5"/>
    <w:rsid w:val="00FF0895"/>
    <w:rsid w:val="00FF0BBB"/>
    <w:rsid w:val="00FF1455"/>
    <w:rsid w:val="00FF1516"/>
    <w:rsid w:val="00FF1653"/>
    <w:rsid w:val="00FF1716"/>
    <w:rsid w:val="00FF1920"/>
    <w:rsid w:val="00FF1ACF"/>
    <w:rsid w:val="00FF1CE6"/>
    <w:rsid w:val="00FF289D"/>
    <w:rsid w:val="00FF2A88"/>
    <w:rsid w:val="00FF2EA1"/>
    <w:rsid w:val="00FF37C5"/>
    <w:rsid w:val="00FF3A12"/>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8FA"/>
    <w:rsid w:val="00FF5944"/>
    <w:rsid w:val="00FF5D1A"/>
    <w:rsid w:val="00FF5EBA"/>
    <w:rsid w:val="00FF609A"/>
    <w:rsid w:val="00FF66CB"/>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D27"/>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HR33RHYHUWRF-4-17477</_dlc_DocId>
    <_dlc_DocIdUrl xmlns="c06861ca-3f08-4d07-bff7-bb15bac121f4">
      <Url>https://projects.qualcomm.com/sites/pentari/_layouts/15/DocIdRedir.aspx?ID=HR33RHYHUWRF-4-17477</Url>
      <Description>HR33RHYHUWRF-4-17477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6D84322-FF56-437F-B41C-E93662667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FF2C2E-7837-4A4A-9E2F-A6B25C5654DB}">
  <ds:schemaRefs>
    <ds:schemaRef ds:uri="http://schemas.microsoft.com/sharepoint/events"/>
  </ds:schemaRefs>
</ds:datastoreItem>
</file>

<file path=customXml/itemProps5.xml><?xml version="1.0" encoding="utf-8"?>
<ds:datastoreItem xmlns:ds="http://schemas.openxmlformats.org/officeDocument/2006/customXml" ds:itemID="{A8FD53A2-4A60-4A86-BD95-03C88B4B7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638</TotalTime>
  <Pages>6</Pages>
  <Words>2457</Words>
  <Characters>14007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RAN1 #102-e</vt:lpstr>
    </vt:vector>
  </TitlesOfParts>
  <Company>Qualcomm Inc.</Company>
  <LinksUpToDate>false</LinksUpToDate>
  <CharactersWithSpaces>16432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#102-e</dc:title>
  <dc:subject/>
  <dc:creator>Qualcomm Inc.</dc:creator>
  <cp:keywords/>
  <cp:lastModifiedBy>Wooseok Nam</cp:lastModifiedBy>
  <cp:revision>267</cp:revision>
  <cp:lastPrinted>2020-02-14T19:36:00Z</cp:lastPrinted>
  <dcterms:created xsi:type="dcterms:W3CDTF">2020-10-19T00:08:00Z</dcterms:created>
  <dcterms:modified xsi:type="dcterms:W3CDTF">2020-10-24T05:03:00Z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ac17d6ff-ecd8-4ee8-81a1-dacfc3acbf90</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